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C826F" w14:textId="77777777" w:rsidR="003315CA" w:rsidRDefault="00862BB9">
      <w:pPr>
        <w:tabs>
          <w:tab w:val="center" w:pos="4680"/>
          <w:tab w:val="right" w:pos="9360"/>
        </w:tabs>
      </w:pPr>
      <w:bookmarkStart w:id="0" w:name="_GoBack"/>
      <w:bookmarkEnd w:id="0"/>
      <w:r>
        <w:rPr>
          <w:noProof/>
        </w:rPr>
        <w:drawing>
          <wp:anchor distT="0" distB="0" distL="114300" distR="114300" simplePos="0" relativeHeight="251658240" behindDoc="0" locked="0" layoutInCell="1" hidden="0" allowOverlap="1" wp14:anchorId="0655FEF0" wp14:editId="2C21F35D">
            <wp:simplePos x="0" y="0"/>
            <wp:positionH relativeFrom="margin">
              <wp:posOffset>1238250</wp:posOffset>
            </wp:positionH>
            <wp:positionV relativeFrom="paragraph">
              <wp:posOffset>-447674</wp:posOffset>
            </wp:positionV>
            <wp:extent cx="3581400" cy="428625"/>
            <wp:effectExtent l="0" t="0" r="0" b="0"/>
            <wp:wrapSquare wrapText="bothSides" distT="0" distB="0" distL="114300" distR="114300"/>
            <wp:docPr id="1" name="image2.jpg" descr="\\thoreau\kebaird$\faculty assembly\Logos\JPEG\fac.assemb_uwt.jpg"/>
            <wp:cNvGraphicFramePr/>
            <a:graphic xmlns:a="http://schemas.openxmlformats.org/drawingml/2006/main">
              <a:graphicData uri="http://schemas.openxmlformats.org/drawingml/2006/picture">
                <pic:pic xmlns:pic="http://schemas.openxmlformats.org/drawingml/2006/picture">
                  <pic:nvPicPr>
                    <pic:cNvPr id="0" name="image2.jpg" descr="\\thoreau\kebaird$\faculty assembly\Logos\JPEG\fac.assemb_uwt.jpg"/>
                    <pic:cNvPicPr preferRelativeResize="0"/>
                  </pic:nvPicPr>
                  <pic:blipFill>
                    <a:blip r:embed="rId7"/>
                    <a:srcRect/>
                    <a:stretch>
                      <a:fillRect/>
                    </a:stretch>
                  </pic:blipFill>
                  <pic:spPr>
                    <a:xfrm>
                      <a:off x="0" y="0"/>
                      <a:ext cx="3581400" cy="428625"/>
                    </a:xfrm>
                    <a:prstGeom prst="rect">
                      <a:avLst/>
                    </a:prstGeom>
                    <a:ln/>
                  </pic:spPr>
                </pic:pic>
              </a:graphicData>
            </a:graphic>
          </wp:anchor>
        </w:drawing>
      </w:r>
    </w:p>
    <w:p w14:paraId="16E4DD21" w14:textId="77777777" w:rsidR="003315CA" w:rsidRDefault="003315CA">
      <w:pPr>
        <w:jc w:val="center"/>
        <w:rPr>
          <w:rFonts w:ascii="Times New Roman" w:eastAsia="Times New Roman" w:hAnsi="Times New Roman" w:cs="Times New Roman"/>
          <w:b/>
        </w:rPr>
      </w:pPr>
    </w:p>
    <w:p w14:paraId="6503F7C1" w14:textId="77777777" w:rsidR="003315CA" w:rsidRDefault="003315CA">
      <w:pPr>
        <w:jc w:val="center"/>
        <w:rPr>
          <w:rFonts w:ascii="Times New Roman" w:eastAsia="Times New Roman" w:hAnsi="Times New Roman" w:cs="Times New Roman"/>
          <w:b/>
        </w:rPr>
      </w:pPr>
    </w:p>
    <w:p w14:paraId="64448CDD" w14:textId="77777777" w:rsidR="003315CA" w:rsidRDefault="003315CA">
      <w:pPr>
        <w:jc w:val="center"/>
        <w:rPr>
          <w:rFonts w:ascii="Times New Roman" w:eastAsia="Times New Roman" w:hAnsi="Times New Roman" w:cs="Times New Roman"/>
          <w:b/>
        </w:rPr>
      </w:pPr>
    </w:p>
    <w:p w14:paraId="34DCEDC0" w14:textId="77777777" w:rsidR="003315CA" w:rsidRDefault="00862BB9">
      <w:pPr>
        <w:jc w:val="center"/>
        <w:rPr>
          <w:rFonts w:ascii="Times New Roman" w:eastAsia="Times New Roman" w:hAnsi="Times New Roman" w:cs="Times New Roman"/>
          <w:b/>
        </w:rPr>
      </w:pPr>
      <w:r>
        <w:rPr>
          <w:rFonts w:ascii="Times New Roman" w:eastAsia="Times New Roman" w:hAnsi="Times New Roman" w:cs="Times New Roman"/>
          <w:b/>
        </w:rPr>
        <w:t>Agenda</w:t>
      </w:r>
    </w:p>
    <w:p w14:paraId="1A99B512" w14:textId="77777777" w:rsidR="003315CA" w:rsidRDefault="00862BB9">
      <w:pPr>
        <w:jc w:val="center"/>
        <w:rPr>
          <w:rFonts w:ascii="Times New Roman" w:eastAsia="Times New Roman" w:hAnsi="Times New Roman" w:cs="Times New Roman"/>
          <w:b/>
        </w:rPr>
      </w:pPr>
      <w:r>
        <w:rPr>
          <w:rFonts w:ascii="Times New Roman" w:eastAsia="Times New Roman" w:hAnsi="Times New Roman" w:cs="Times New Roman"/>
          <w:b/>
        </w:rPr>
        <w:t>Faculty Affairs Committee Meeting</w:t>
      </w:r>
    </w:p>
    <w:p w14:paraId="15C4309C" w14:textId="77777777" w:rsidR="003315CA" w:rsidRDefault="00862BB9">
      <w:pPr>
        <w:jc w:val="center"/>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February 16, 2018 2:00pm-3:00pm SCI 104</w:t>
      </w:r>
    </w:p>
    <w:p w14:paraId="22898593" w14:textId="77777777" w:rsidR="003315CA" w:rsidRDefault="003315CA">
      <w:pPr>
        <w:jc w:val="center"/>
        <w:rPr>
          <w:rFonts w:ascii="Times New Roman" w:eastAsia="Times New Roman" w:hAnsi="Times New Roman" w:cs="Times New Roman"/>
        </w:rPr>
      </w:pPr>
    </w:p>
    <w:p w14:paraId="10D61506" w14:textId="77777777" w:rsidR="003315CA" w:rsidRDefault="003315CA">
      <w:pPr>
        <w:spacing w:line="360" w:lineRule="auto"/>
        <w:rPr>
          <w:rFonts w:ascii="Times New Roman" w:eastAsia="Times New Roman" w:hAnsi="Times New Roman" w:cs="Times New Roman"/>
        </w:rPr>
      </w:pPr>
    </w:p>
    <w:p w14:paraId="7FF138A1" w14:textId="77777777" w:rsidR="003315CA" w:rsidRDefault="00862BB9">
      <w:pPr>
        <w:numPr>
          <w:ilvl w:val="0"/>
          <w:numId w:val="2"/>
        </w:numPr>
        <w:spacing w:line="360" w:lineRule="auto"/>
        <w:contextualSpacing/>
        <w:rPr>
          <w:rFonts w:ascii="Times New Roman" w:eastAsia="Times New Roman" w:hAnsi="Times New Roman" w:cs="Times New Roman"/>
        </w:rPr>
      </w:pPr>
      <w:r>
        <w:rPr>
          <w:rFonts w:ascii="Times New Roman" w:eastAsia="Times New Roman" w:hAnsi="Times New Roman" w:cs="Times New Roman"/>
        </w:rPr>
        <w:t>Consent Agenda &amp; Approval of Minutes</w:t>
      </w:r>
    </w:p>
    <w:p w14:paraId="64167431" w14:textId="77777777" w:rsidR="003315CA" w:rsidRDefault="00862BB9">
      <w:pPr>
        <w:numPr>
          <w:ilvl w:val="1"/>
          <w:numId w:val="2"/>
        </w:numPr>
        <w:spacing w:line="360" w:lineRule="auto"/>
        <w:contextualSpacing/>
      </w:pPr>
      <w:r>
        <w:rPr>
          <w:rFonts w:ascii="Times New Roman" w:eastAsia="Times New Roman" w:hAnsi="Times New Roman" w:cs="Times New Roman"/>
          <w:i/>
        </w:rPr>
        <w:t>Meeting materials: December 11, 2017 &amp; January 19, 2018  Faculty Affairs Committee Minutes (email attachments)</w:t>
      </w:r>
    </w:p>
    <w:p w14:paraId="4C7477CF" w14:textId="77777777" w:rsidR="003315CA" w:rsidRDefault="00862BB9">
      <w:pPr>
        <w:numPr>
          <w:ilvl w:val="0"/>
          <w:numId w:val="2"/>
        </w:numPr>
        <w:spacing w:line="360" w:lineRule="auto"/>
        <w:contextualSpacing/>
        <w:rPr>
          <w:rFonts w:ascii="Times New Roman" w:eastAsia="Times New Roman" w:hAnsi="Times New Roman" w:cs="Times New Roman"/>
        </w:rPr>
      </w:pPr>
      <w:r>
        <w:rPr>
          <w:rFonts w:ascii="Times New Roman" w:eastAsia="Times New Roman" w:hAnsi="Times New Roman" w:cs="Times New Roman"/>
        </w:rPr>
        <w:t>Teaching Evaluation Policy Draft &amp; Faculty Code Language</w:t>
      </w:r>
    </w:p>
    <w:p w14:paraId="2B250B47" w14:textId="77777777" w:rsidR="003315CA" w:rsidRDefault="00862BB9">
      <w:pPr>
        <w:numPr>
          <w:ilvl w:val="1"/>
          <w:numId w:val="2"/>
        </w:numPr>
        <w:spacing w:line="360" w:lineRule="auto"/>
        <w:contextualSpacing/>
      </w:pPr>
      <w:r>
        <w:rPr>
          <w:rFonts w:ascii="Times New Roman" w:eastAsia="Times New Roman" w:hAnsi="Times New Roman" w:cs="Times New Roman"/>
          <w:i/>
        </w:rPr>
        <w:t>Meeting materials pg. 2-3</w:t>
      </w:r>
    </w:p>
    <w:p w14:paraId="472E7CC8" w14:textId="77777777" w:rsidR="003315CA" w:rsidRDefault="00862BB9">
      <w:pPr>
        <w:numPr>
          <w:ilvl w:val="0"/>
          <w:numId w:val="2"/>
        </w:numPr>
        <w:spacing w:line="360" w:lineRule="auto"/>
        <w:contextualSpacing/>
        <w:rPr>
          <w:rFonts w:ascii="Times New Roman" w:eastAsia="Times New Roman" w:hAnsi="Times New Roman" w:cs="Times New Roman"/>
        </w:rPr>
      </w:pPr>
      <w:r>
        <w:rPr>
          <w:rFonts w:ascii="Times New Roman" w:eastAsia="Times New Roman" w:hAnsi="Times New Roman" w:cs="Times New Roman"/>
        </w:rPr>
        <w:t xml:space="preserve">Non-competitive Hiring Policy </w:t>
      </w:r>
    </w:p>
    <w:p w14:paraId="5D75E443" w14:textId="77777777" w:rsidR="003315CA" w:rsidRDefault="00862BB9">
      <w:pPr>
        <w:numPr>
          <w:ilvl w:val="1"/>
          <w:numId w:val="2"/>
        </w:numPr>
        <w:spacing w:line="360" w:lineRule="auto"/>
        <w:contextualSpacing/>
      </w:pPr>
      <w:r>
        <w:rPr>
          <w:rFonts w:ascii="Times New Roman" w:eastAsia="Times New Roman" w:hAnsi="Times New Roman" w:cs="Times New Roman"/>
          <w:i/>
        </w:rPr>
        <w:t>Meeting material pg. 4</w:t>
      </w:r>
    </w:p>
    <w:p w14:paraId="0EC2D5DB" w14:textId="77777777" w:rsidR="003315CA" w:rsidRDefault="00862BB9">
      <w:pPr>
        <w:numPr>
          <w:ilvl w:val="0"/>
          <w:numId w:val="2"/>
        </w:numPr>
        <w:spacing w:line="360" w:lineRule="auto"/>
        <w:contextualSpacing/>
        <w:rPr>
          <w:rFonts w:ascii="Times New Roman" w:eastAsia="Times New Roman" w:hAnsi="Times New Roman" w:cs="Times New Roman"/>
        </w:rPr>
      </w:pPr>
      <w:r>
        <w:rPr>
          <w:rFonts w:ascii="Times New Roman" w:eastAsia="Times New Roman" w:hAnsi="Times New Roman" w:cs="Times New Roman"/>
        </w:rPr>
        <w:t xml:space="preserve">2018-2019 FAC Chair Nominations/Election </w:t>
      </w:r>
    </w:p>
    <w:p w14:paraId="6392DB2B" w14:textId="77777777" w:rsidR="003315CA" w:rsidRDefault="00862BB9">
      <w:pPr>
        <w:numPr>
          <w:ilvl w:val="0"/>
          <w:numId w:val="2"/>
        </w:numPr>
        <w:spacing w:line="360" w:lineRule="auto"/>
        <w:contextualSpacing/>
        <w:rPr>
          <w:rFonts w:ascii="Times New Roman" w:eastAsia="Times New Roman" w:hAnsi="Times New Roman" w:cs="Times New Roman"/>
        </w:rPr>
      </w:pPr>
      <w:r>
        <w:rPr>
          <w:rFonts w:ascii="Times New Roman" w:eastAsia="Times New Roman" w:hAnsi="Times New Roman" w:cs="Times New Roman"/>
        </w:rPr>
        <w:t>Other Business</w:t>
      </w:r>
    </w:p>
    <w:p w14:paraId="13EEEBB2" w14:textId="77777777" w:rsidR="003315CA" w:rsidRDefault="00862BB9">
      <w:pPr>
        <w:numPr>
          <w:ilvl w:val="1"/>
          <w:numId w:val="3"/>
        </w:numPr>
        <w:spacing w:line="360" w:lineRule="auto"/>
        <w:contextualSpacing/>
      </w:pPr>
      <w:r>
        <w:rPr>
          <w:rFonts w:ascii="Times New Roman" w:eastAsia="Times New Roman" w:hAnsi="Times New Roman" w:cs="Times New Roman"/>
          <w:i/>
        </w:rPr>
        <w:t>Childcare and Early Childhood Education</w:t>
      </w:r>
    </w:p>
    <w:p w14:paraId="4FD4D4CB" w14:textId="77777777" w:rsidR="003315CA" w:rsidRDefault="00862BB9">
      <w:pPr>
        <w:numPr>
          <w:ilvl w:val="1"/>
          <w:numId w:val="3"/>
        </w:numPr>
        <w:spacing w:line="360" w:lineRule="auto"/>
        <w:contextualSpacing/>
      </w:pPr>
      <w:r>
        <w:rPr>
          <w:rFonts w:ascii="Times New Roman" w:eastAsia="Times New Roman" w:hAnsi="Times New Roman" w:cs="Times New Roman"/>
          <w:i/>
        </w:rPr>
        <w:t xml:space="preserve">Parking for Faculty </w:t>
      </w:r>
    </w:p>
    <w:p w14:paraId="32F45460" w14:textId="77777777" w:rsidR="003315CA" w:rsidRDefault="00862BB9">
      <w:pPr>
        <w:numPr>
          <w:ilvl w:val="1"/>
          <w:numId w:val="3"/>
        </w:numPr>
        <w:spacing w:line="360" w:lineRule="auto"/>
        <w:contextualSpacing/>
      </w:pPr>
      <w:r>
        <w:rPr>
          <w:rFonts w:ascii="Times New Roman" w:eastAsia="Times New Roman" w:hAnsi="Times New Roman" w:cs="Times New Roman"/>
          <w:i/>
        </w:rPr>
        <w:t>C</w:t>
      </w:r>
      <w:r>
        <w:rPr>
          <w:rFonts w:ascii="Times New Roman" w:eastAsia="Times New Roman" w:hAnsi="Times New Roman" w:cs="Times New Roman"/>
          <w:i/>
        </w:rPr>
        <w:t>limate Survey Update</w:t>
      </w:r>
    </w:p>
    <w:p w14:paraId="6255BE8A" w14:textId="77777777" w:rsidR="003315CA" w:rsidRDefault="00862BB9">
      <w:pPr>
        <w:numPr>
          <w:ilvl w:val="1"/>
          <w:numId w:val="3"/>
        </w:numPr>
        <w:spacing w:line="360" w:lineRule="auto"/>
        <w:contextualSpacing/>
      </w:pPr>
      <w:r>
        <w:rPr>
          <w:rFonts w:ascii="Times New Roman" w:eastAsia="Times New Roman" w:hAnsi="Times New Roman" w:cs="Times New Roman"/>
          <w:i/>
        </w:rPr>
        <w:t>Others?</w:t>
      </w:r>
    </w:p>
    <w:p w14:paraId="0E7BA1E8" w14:textId="77777777" w:rsidR="003315CA" w:rsidRDefault="00862BB9">
      <w:pPr>
        <w:numPr>
          <w:ilvl w:val="0"/>
          <w:numId w:val="2"/>
        </w:numPr>
        <w:spacing w:line="360" w:lineRule="auto"/>
        <w:contextualSpacing/>
        <w:rPr>
          <w:rFonts w:ascii="Times New Roman" w:eastAsia="Times New Roman" w:hAnsi="Times New Roman" w:cs="Times New Roman"/>
        </w:rPr>
      </w:pPr>
      <w:r>
        <w:rPr>
          <w:rFonts w:ascii="Times New Roman" w:eastAsia="Times New Roman" w:hAnsi="Times New Roman" w:cs="Times New Roman"/>
        </w:rPr>
        <w:t>Adjourn</w:t>
      </w:r>
    </w:p>
    <w:p w14:paraId="37FEF8BB" w14:textId="77777777" w:rsidR="003315CA" w:rsidRDefault="003315CA"/>
    <w:p w14:paraId="4B98E14B" w14:textId="77777777" w:rsidR="003315CA" w:rsidRDefault="003315CA"/>
    <w:p w14:paraId="4307DF66" w14:textId="77777777" w:rsidR="003315CA" w:rsidRDefault="003315CA"/>
    <w:p w14:paraId="20122E23" w14:textId="77777777" w:rsidR="003315CA" w:rsidRDefault="003315CA"/>
    <w:p w14:paraId="7480C5A2" w14:textId="77777777" w:rsidR="003315CA" w:rsidRDefault="003315CA"/>
    <w:p w14:paraId="0B2ADEA7" w14:textId="77777777" w:rsidR="003315CA" w:rsidRDefault="003315CA"/>
    <w:p w14:paraId="06AC5775" w14:textId="77777777" w:rsidR="003315CA" w:rsidRDefault="003315CA"/>
    <w:p w14:paraId="1CA3CC1E" w14:textId="77777777" w:rsidR="003315CA" w:rsidRDefault="003315CA"/>
    <w:p w14:paraId="52DA5F9B" w14:textId="77777777" w:rsidR="003315CA" w:rsidRDefault="003315CA"/>
    <w:p w14:paraId="1E92ACCE" w14:textId="77777777" w:rsidR="003315CA" w:rsidRDefault="003315CA"/>
    <w:p w14:paraId="7BFC1919" w14:textId="77777777" w:rsidR="003315CA" w:rsidRDefault="003315CA"/>
    <w:p w14:paraId="115BD21D" w14:textId="77777777" w:rsidR="003315CA" w:rsidRDefault="003315CA"/>
    <w:p w14:paraId="0A986A18" w14:textId="77777777" w:rsidR="003315CA" w:rsidRDefault="003315CA"/>
    <w:p w14:paraId="142AE01B" w14:textId="77777777" w:rsidR="003315CA" w:rsidRDefault="003315CA"/>
    <w:p w14:paraId="4BE426ED" w14:textId="77777777" w:rsidR="003315CA" w:rsidRDefault="003315CA"/>
    <w:p w14:paraId="0AB63801" w14:textId="77777777" w:rsidR="003315CA" w:rsidRDefault="003315CA"/>
    <w:p w14:paraId="0B8F330B" w14:textId="77777777" w:rsidR="003315CA" w:rsidRDefault="003315CA"/>
    <w:p w14:paraId="0FA5D4B6" w14:textId="77777777" w:rsidR="003315CA" w:rsidRDefault="003315CA"/>
    <w:p w14:paraId="67DE07EE" w14:textId="77777777" w:rsidR="003315CA" w:rsidRDefault="003315CA"/>
    <w:p w14:paraId="4BE3300B" w14:textId="77777777" w:rsidR="003315CA" w:rsidRDefault="003315CA"/>
    <w:p w14:paraId="65B6F621" w14:textId="77777777" w:rsidR="003315CA" w:rsidRDefault="00862BB9">
      <w:pPr>
        <w:jc w:val="center"/>
        <w:rPr>
          <w:b/>
        </w:rPr>
      </w:pPr>
      <w:r>
        <w:rPr>
          <w:b/>
        </w:rPr>
        <w:t>FAC Proposed Campus-Wide Policy for Teaching Evaluation</w:t>
      </w:r>
    </w:p>
    <w:p w14:paraId="370D2B8D" w14:textId="77777777" w:rsidR="003315CA" w:rsidRDefault="00862BB9">
      <w:pPr>
        <w:jc w:val="center"/>
        <w:rPr>
          <w:b/>
        </w:rPr>
      </w:pPr>
      <w:r>
        <w:rPr>
          <w:b/>
        </w:rPr>
        <w:t>12.11.17</w:t>
      </w:r>
    </w:p>
    <w:p w14:paraId="0F4C98B7" w14:textId="77777777" w:rsidR="003315CA" w:rsidRDefault="003315CA"/>
    <w:p w14:paraId="088B6BD1" w14:textId="77777777" w:rsidR="003315CA" w:rsidRDefault="00862BB9">
      <w:r>
        <w:t>In response to the 2016 Report of the Teaching Evaluation Campus Fellows, the Faculty Affairs Committee proposes the adoption of the following campus-wide policy:</w:t>
      </w:r>
    </w:p>
    <w:p w14:paraId="67B3E167" w14:textId="77777777" w:rsidR="003315CA" w:rsidRDefault="003315CA"/>
    <w:p w14:paraId="7ADB1A42" w14:textId="77777777" w:rsidR="003315CA" w:rsidRDefault="00862BB9">
      <w:r>
        <w:t>According to the University of Washington’s “Evaluating Teaching in Promotion &amp; Tenure Cases</w:t>
      </w:r>
      <w:r>
        <w:t>: Guide to Best Practices (2016)” and supported by research by the Report of the Teaching Evaluation Campus Fellows, UWT *units should rely on all three of the following methods of teaching evaluation: peer evaluation, self-evaluation, and student evaluati</w:t>
      </w:r>
      <w:r>
        <w:t xml:space="preserve">on of teaching. Furthermore, each *unit should </w:t>
      </w:r>
      <w:r>
        <w:rPr>
          <w:color w:val="FF0000"/>
        </w:rPr>
        <w:t>(will):</w:t>
      </w:r>
    </w:p>
    <w:p w14:paraId="428B611E" w14:textId="77777777" w:rsidR="003315CA" w:rsidRDefault="00862BB9">
      <w:pPr>
        <w:numPr>
          <w:ilvl w:val="0"/>
          <w:numId w:val="4"/>
        </w:numPr>
        <w:spacing w:line="276" w:lineRule="auto"/>
        <w:contextualSpacing/>
      </w:pPr>
      <w:r>
        <w:t>Define the terms Teaching Excellence, Teaching Effectiveness, and Student Success in alignment with the UWT strategic plan. In defining these terms, units should directly address the diverse needs of our students and equity for our minority faculty.</w:t>
      </w:r>
    </w:p>
    <w:p w14:paraId="7819A193" w14:textId="77777777" w:rsidR="003315CA" w:rsidRDefault="00862BB9">
      <w:pPr>
        <w:numPr>
          <w:ilvl w:val="0"/>
          <w:numId w:val="4"/>
        </w:numPr>
        <w:spacing w:line="276" w:lineRule="auto"/>
        <w:contextualSpacing/>
      </w:pPr>
      <w:r>
        <w:t>Provid</w:t>
      </w:r>
      <w:r>
        <w:t>e guidelines and transparency about each component of teaching evaluation (peer evaluation, self-evaluation and student evaluation). These guidelines should clearly identify which kinds of teaching assessment will be used for which purposes, and how much w</w:t>
      </w:r>
      <w:r>
        <w:t>eight they will be given in merit, contract renewal, and promotion and tenure decisions.</w:t>
      </w:r>
    </w:p>
    <w:p w14:paraId="0A5870E7" w14:textId="77777777" w:rsidR="003315CA" w:rsidRDefault="00862BB9">
      <w:pPr>
        <w:numPr>
          <w:ilvl w:val="0"/>
          <w:numId w:val="4"/>
        </w:numPr>
        <w:spacing w:line="276" w:lineRule="auto"/>
        <w:contextualSpacing/>
      </w:pPr>
      <w:r>
        <w:t>Self-assessment of teaching should take place on an annual basis as part of faculty annual activities reports.</w:t>
      </w:r>
    </w:p>
    <w:p w14:paraId="7DF001FD" w14:textId="77777777" w:rsidR="003315CA" w:rsidRDefault="00862BB9">
      <w:pPr>
        <w:numPr>
          <w:ilvl w:val="0"/>
          <w:numId w:val="4"/>
        </w:numPr>
        <w:spacing w:line="276" w:lineRule="auto"/>
        <w:contextualSpacing/>
      </w:pPr>
      <w:r>
        <w:t>Effective teaching and assessment should be supported with:</w:t>
      </w:r>
    </w:p>
    <w:p w14:paraId="7B895053" w14:textId="77777777" w:rsidR="003315CA" w:rsidRDefault="00862BB9">
      <w:pPr>
        <w:numPr>
          <w:ilvl w:val="1"/>
          <w:numId w:val="4"/>
        </w:numPr>
        <w:spacing w:line="276" w:lineRule="auto"/>
        <w:contextualSpacing/>
      </w:pPr>
      <w:r>
        <w:t>Resources such as professional development funds, mentoring, workshops, fellowships, staff resources, etc.</w:t>
      </w:r>
    </w:p>
    <w:p w14:paraId="5DDB8573" w14:textId="77777777" w:rsidR="003315CA" w:rsidRDefault="00862BB9">
      <w:pPr>
        <w:numPr>
          <w:ilvl w:val="1"/>
          <w:numId w:val="4"/>
        </w:numPr>
        <w:spacing w:after="200" w:line="276" w:lineRule="auto"/>
        <w:contextualSpacing/>
      </w:pPr>
      <w:r>
        <w:t>Removal of barriers (e.g. freeing faculty from other responsibilities to conduct effectiv</w:t>
      </w:r>
      <w:r>
        <w:t>e peer reviews)</w:t>
      </w:r>
    </w:p>
    <w:p w14:paraId="499B6C03" w14:textId="77777777" w:rsidR="003315CA" w:rsidRDefault="00862BB9">
      <w:pPr>
        <w:rPr>
          <w:sz w:val="20"/>
          <w:szCs w:val="20"/>
        </w:rPr>
      </w:pPr>
      <w:r>
        <w:rPr>
          <w:sz w:val="20"/>
          <w:szCs w:val="20"/>
        </w:rPr>
        <w:t xml:space="preserve">*Department where the Regents have not yet created a college or school headed by a dean within the University of Washington Tacoma as described in </w:t>
      </w:r>
      <w:hyperlink r:id="rId8">
        <w:r>
          <w:rPr>
            <w:color w:val="0000FF"/>
            <w:sz w:val="20"/>
            <w:szCs w:val="20"/>
            <w:u w:val="single"/>
          </w:rPr>
          <w:t>Executive Order</w:t>
        </w:r>
        <w:r>
          <w:rPr>
            <w:color w:val="0000FF"/>
            <w:sz w:val="20"/>
            <w:szCs w:val="20"/>
            <w:u w:val="single"/>
          </w:rPr>
          <w:t xml:space="preserve"> V</w:t>
        </w:r>
      </w:hyperlink>
      <w:r>
        <w:rPr>
          <w:sz w:val="20"/>
          <w:szCs w:val="20"/>
        </w:rPr>
        <w:t>.</w:t>
      </w:r>
    </w:p>
    <w:p w14:paraId="6A8B83C2" w14:textId="77777777" w:rsidR="003315CA" w:rsidRDefault="003315CA">
      <w:pPr>
        <w:rPr>
          <w:rFonts w:ascii="Times New Roman" w:eastAsia="Times New Roman" w:hAnsi="Times New Roman" w:cs="Times New Roman"/>
        </w:rPr>
      </w:pPr>
    </w:p>
    <w:p w14:paraId="054A8D0F" w14:textId="77777777" w:rsidR="003315CA" w:rsidRDefault="003315CA">
      <w:pPr>
        <w:rPr>
          <w:rFonts w:ascii="Times New Roman" w:eastAsia="Times New Roman" w:hAnsi="Times New Roman" w:cs="Times New Roman"/>
        </w:rPr>
      </w:pPr>
    </w:p>
    <w:p w14:paraId="18123B4A" w14:textId="77777777" w:rsidR="003315CA" w:rsidRDefault="00862BB9">
      <w:pPr>
        <w:rPr>
          <w:rFonts w:ascii="Times New Roman" w:eastAsia="Times New Roman" w:hAnsi="Times New Roman" w:cs="Times New Roman"/>
        </w:rPr>
      </w:pPr>
      <w:r>
        <w:rPr>
          <w:rFonts w:ascii="Times New Roman" w:eastAsia="Times New Roman" w:hAnsi="Times New Roman" w:cs="Times New Roman"/>
        </w:rPr>
        <w:t>From Susan Johnson:</w:t>
      </w:r>
    </w:p>
    <w:p w14:paraId="0E793A43" w14:textId="77777777" w:rsidR="003315CA" w:rsidRDefault="00862BB9">
      <w:pPr>
        <w:rPr>
          <w:rFonts w:ascii="Times New Roman" w:eastAsia="Times New Roman" w:hAnsi="Times New Roman" w:cs="Times New Roman"/>
          <w:i/>
          <w:u w:val="single"/>
        </w:rPr>
      </w:pPr>
      <w:r>
        <w:rPr>
          <w:rFonts w:ascii="Times New Roman" w:eastAsia="Times New Roman" w:hAnsi="Times New Roman" w:cs="Times New Roman"/>
          <w:i/>
          <w:color w:val="212121"/>
          <w:highlight w:val="white"/>
        </w:rPr>
        <w:t>I have attached the language from the faculty code about evaluation of teaching (I cut and pasted pertinent sections onto a word doc &amp; included the links) so we can make sure that what we come up with matches the faculty code.</w:t>
      </w:r>
    </w:p>
    <w:p w14:paraId="5BBCCE8A" w14:textId="77777777" w:rsidR="003315CA" w:rsidRDefault="003315CA">
      <w:pPr>
        <w:jc w:val="center"/>
        <w:rPr>
          <w:rFonts w:ascii="Times New Roman" w:eastAsia="Times New Roman" w:hAnsi="Times New Roman" w:cs="Times New Roman"/>
          <w:u w:val="single"/>
        </w:rPr>
      </w:pPr>
    </w:p>
    <w:p w14:paraId="754C78CB" w14:textId="77777777" w:rsidR="003315CA" w:rsidRDefault="00862BB9">
      <w:pPr>
        <w:rPr>
          <w:rFonts w:ascii="Times New Roman" w:eastAsia="Times New Roman" w:hAnsi="Times New Roman" w:cs="Times New Roman"/>
        </w:rPr>
      </w:pPr>
      <w:r>
        <w:rPr>
          <w:rFonts w:ascii="Times New Roman" w:eastAsia="Times New Roman" w:hAnsi="Times New Roman" w:cs="Times New Roman"/>
          <w:b/>
        </w:rPr>
        <w:t>Th</w:t>
      </w:r>
      <w:r>
        <w:rPr>
          <w:rFonts w:ascii="Times New Roman" w:eastAsia="Times New Roman" w:hAnsi="Times New Roman" w:cs="Times New Roman"/>
          <w:b/>
        </w:rPr>
        <w:t xml:space="preserve">is comes from: </w:t>
      </w:r>
      <w:hyperlink r:id="rId9">
        <w:r>
          <w:rPr>
            <w:rFonts w:ascii="Times New Roman" w:eastAsia="Times New Roman" w:hAnsi="Times New Roman" w:cs="Times New Roman"/>
            <w:color w:val="0000FF"/>
            <w:u w:val="single"/>
          </w:rPr>
          <w:t>http://www.washington.edu/admin/rules/policies/FCG/FCCH24.html</w:t>
        </w:r>
      </w:hyperlink>
    </w:p>
    <w:p w14:paraId="11C2FCD5" w14:textId="77777777" w:rsidR="003315CA" w:rsidRDefault="00862BB9">
      <w:pPr>
        <w:rPr>
          <w:rFonts w:ascii="Times New Roman" w:eastAsia="Times New Roman" w:hAnsi="Times New Roman" w:cs="Times New Roman"/>
          <w:b/>
        </w:rPr>
      </w:pPr>
      <w:r>
        <w:rPr>
          <w:rFonts w:ascii="Times New Roman" w:eastAsia="Times New Roman" w:hAnsi="Times New Roman" w:cs="Times New Roman"/>
          <w:b/>
        </w:rPr>
        <w:t>Section 24-32  C</w:t>
      </w:r>
    </w:p>
    <w:p w14:paraId="006A3F3D" w14:textId="77777777" w:rsidR="003315CA" w:rsidRDefault="00862BB9">
      <w:pPr>
        <w:rPr>
          <w:rFonts w:ascii="Times New Roman" w:eastAsia="Times New Roman" w:hAnsi="Times New Roman" w:cs="Times New Roman"/>
        </w:rPr>
      </w:pPr>
      <w:r>
        <w:rPr>
          <w:rFonts w:ascii="Times New Roman" w:eastAsia="Times New Roman" w:hAnsi="Times New Roman" w:cs="Times New Roman"/>
        </w:rPr>
        <w:t>The scope of faculty teaching is broader than conventional classroom instruction; it comprises a variety of teaching formats and media, including undergraduate and graduate instruction for matriculated students, and special training or continuing education</w:t>
      </w:r>
      <w:r>
        <w:rPr>
          <w:rFonts w:ascii="Times New Roman" w:eastAsia="Times New Roman" w:hAnsi="Times New Roman" w:cs="Times New Roman"/>
        </w:rPr>
        <w:t xml:space="preserve">. The educational function of a university requires faculty who can teach effectively. Instruction must be judged according to its essential purposes and the conditions which they impose. Some elements in assessing effective teaching include: </w:t>
      </w:r>
    </w:p>
    <w:p w14:paraId="0708C20F" w14:textId="77777777" w:rsidR="003315CA" w:rsidRDefault="00862BB9">
      <w:pPr>
        <w:numPr>
          <w:ilvl w:val="0"/>
          <w:numId w:val="1"/>
        </w:numPr>
        <w:spacing w:before="280" w:after="240"/>
      </w:pPr>
      <w:r>
        <w:rPr>
          <w:rFonts w:ascii="Times New Roman" w:eastAsia="Times New Roman" w:hAnsi="Times New Roman" w:cs="Times New Roman"/>
        </w:rPr>
        <w:t xml:space="preserve">The ability </w:t>
      </w:r>
      <w:r>
        <w:rPr>
          <w:rFonts w:ascii="Times New Roman" w:eastAsia="Times New Roman" w:hAnsi="Times New Roman" w:cs="Times New Roman"/>
        </w:rPr>
        <w:t>to organize and conduct a course of study appropriate to the level of instruction and the nature of the subject matter;</w:t>
      </w:r>
    </w:p>
    <w:p w14:paraId="76096415" w14:textId="77777777" w:rsidR="003315CA" w:rsidRDefault="00862BB9">
      <w:pPr>
        <w:numPr>
          <w:ilvl w:val="0"/>
          <w:numId w:val="1"/>
        </w:numPr>
        <w:spacing w:before="40" w:after="240"/>
      </w:pPr>
      <w:r>
        <w:rPr>
          <w:rFonts w:ascii="Times New Roman" w:eastAsia="Times New Roman" w:hAnsi="Times New Roman" w:cs="Times New Roman"/>
        </w:rPr>
        <w:t>The consistency with which the teacher brings to the students the latest research findings and professional debates within the disciplin</w:t>
      </w:r>
      <w:r>
        <w:rPr>
          <w:rFonts w:ascii="Times New Roman" w:eastAsia="Times New Roman" w:hAnsi="Times New Roman" w:cs="Times New Roman"/>
        </w:rPr>
        <w:t>e;</w:t>
      </w:r>
    </w:p>
    <w:p w14:paraId="61516C88" w14:textId="77777777" w:rsidR="003315CA" w:rsidRDefault="00862BB9">
      <w:pPr>
        <w:numPr>
          <w:ilvl w:val="0"/>
          <w:numId w:val="1"/>
        </w:numPr>
        <w:spacing w:before="40" w:after="240"/>
      </w:pPr>
      <w:r>
        <w:rPr>
          <w:rFonts w:ascii="Times New Roman" w:eastAsia="Times New Roman" w:hAnsi="Times New Roman" w:cs="Times New Roman"/>
        </w:rPr>
        <w:lastRenderedPageBreak/>
        <w:t>The ability to stimulate intellectual inquiry so that students develop the skills to examine and evaluate ideas and arguments;</w:t>
      </w:r>
    </w:p>
    <w:p w14:paraId="0BBD790C" w14:textId="77777777" w:rsidR="003315CA" w:rsidRDefault="00862BB9">
      <w:pPr>
        <w:numPr>
          <w:ilvl w:val="0"/>
          <w:numId w:val="1"/>
        </w:numPr>
        <w:spacing w:before="40" w:after="240"/>
      </w:pPr>
      <w:r>
        <w:rPr>
          <w:rFonts w:ascii="Times New Roman" w:eastAsia="Times New Roman" w:hAnsi="Times New Roman" w:cs="Times New Roman"/>
        </w:rPr>
        <w:t>The extent to which the teacher encourages discussion and debate which enables the students to articulate the ideas they are e</w:t>
      </w:r>
      <w:r>
        <w:rPr>
          <w:rFonts w:ascii="Times New Roman" w:eastAsia="Times New Roman" w:hAnsi="Times New Roman" w:cs="Times New Roman"/>
        </w:rPr>
        <w:t>xploring;</w:t>
      </w:r>
    </w:p>
    <w:p w14:paraId="7ED97A74" w14:textId="77777777" w:rsidR="003315CA" w:rsidRDefault="00862BB9">
      <w:pPr>
        <w:numPr>
          <w:ilvl w:val="0"/>
          <w:numId w:val="1"/>
        </w:numPr>
        <w:spacing w:before="40" w:after="240"/>
      </w:pPr>
      <w:r>
        <w:rPr>
          <w:rFonts w:ascii="Times New Roman" w:eastAsia="Times New Roman" w:hAnsi="Times New Roman" w:cs="Times New Roman"/>
        </w:rPr>
        <w:t>The degree to which teaching strategies that encourage the educational advancement of students from all backgrounds and life experiences are utilized;</w:t>
      </w:r>
    </w:p>
    <w:p w14:paraId="783B9DB6" w14:textId="77777777" w:rsidR="003315CA" w:rsidRDefault="00862BB9">
      <w:pPr>
        <w:numPr>
          <w:ilvl w:val="0"/>
          <w:numId w:val="1"/>
        </w:numPr>
        <w:spacing w:before="40" w:after="240"/>
      </w:pPr>
      <w:r>
        <w:rPr>
          <w:rFonts w:ascii="Times New Roman" w:eastAsia="Times New Roman" w:hAnsi="Times New Roman" w:cs="Times New Roman"/>
        </w:rPr>
        <w:t>The availability of the teacher to the student beyond the classroom environment; and</w:t>
      </w:r>
    </w:p>
    <w:p w14:paraId="221E4CC6" w14:textId="77777777" w:rsidR="003315CA" w:rsidRDefault="00862BB9">
      <w:pPr>
        <w:numPr>
          <w:ilvl w:val="0"/>
          <w:numId w:val="1"/>
        </w:numPr>
        <w:spacing w:before="40" w:after="280"/>
      </w:pPr>
      <w:r>
        <w:rPr>
          <w:rFonts w:ascii="Times New Roman" w:eastAsia="Times New Roman" w:hAnsi="Times New Roman" w:cs="Times New Roman"/>
        </w:rPr>
        <w:t>The regula</w:t>
      </w:r>
      <w:r>
        <w:rPr>
          <w:rFonts w:ascii="Times New Roman" w:eastAsia="Times New Roman" w:hAnsi="Times New Roman" w:cs="Times New Roman"/>
        </w:rPr>
        <w:t xml:space="preserve">rity with which the teacher examines or reexamines the organization and readings for a course of study and explores new approaches to effective educational methods. </w:t>
      </w:r>
    </w:p>
    <w:p w14:paraId="7F7412EE" w14:textId="77777777" w:rsidR="003315CA" w:rsidRDefault="00862BB9">
      <w:pPr>
        <w:rPr>
          <w:rFonts w:ascii="Times New Roman" w:eastAsia="Times New Roman" w:hAnsi="Times New Roman" w:cs="Times New Roman"/>
        </w:rPr>
      </w:pPr>
      <w:r>
        <w:rPr>
          <w:rFonts w:ascii="Times New Roman" w:eastAsia="Times New Roman" w:hAnsi="Times New Roman" w:cs="Times New Roman"/>
        </w:rPr>
        <w:t>A major activity related to teaching is the instructor's participation in academic advisin</w:t>
      </w:r>
      <w:r>
        <w:rPr>
          <w:rFonts w:ascii="Times New Roman" w:eastAsia="Times New Roman" w:hAnsi="Times New Roman" w:cs="Times New Roman"/>
        </w:rPr>
        <w:t xml:space="preserve">g and counseling, whether this takes the form of assisting students to select courses or discussing the students' long- range goals. The assessment of teaching effectiveness shall include student and faculty evaluation. Where possible, measures of student </w:t>
      </w:r>
      <w:r>
        <w:rPr>
          <w:rFonts w:ascii="Times New Roman" w:eastAsia="Times New Roman" w:hAnsi="Times New Roman" w:cs="Times New Roman"/>
        </w:rPr>
        <w:t>achievements in terms of their academic and professional careers, life skills, and citizenship should be considered.</w:t>
      </w:r>
    </w:p>
    <w:p w14:paraId="23072DD9" w14:textId="77777777" w:rsidR="003315CA" w:rsidRDefault="00862BB9">
      <w:pPr>
        <w:rPr>
          <w:rFonts w:ascii="Times New Roman" w:eastAsia="Times New Roman" w:hAnsi="Times New Roman" w:cs="Times New Roman"/>
          <w:b/>
        </w:rPr>
      </w:pPr>
      <w:r>
        <w:rPr>
          <w:rFonts w:ascii="Times New Roman" w:eastAsia="Times New Roman" w:hAnsi="Times New Roman" w:cs="Times New Roman"/>
          <w:b/>
        </w:rPr>
        <w:t>Section 24-7 A</w:t>
      </w:r>
    </w:p>
    <w:p w14:paraId="65769B32" w14:textId="77777777" w:rsidR="003315CA" w:rsidRDefault="00862BB9">
      <w:pPr>
        <w:rPr>
          <w:rFonts w:ascii="Times New Roman" w:eastAsia="Times New Roman" w:hAnsi="Times New Roman" w:cs="Times New Roman"/>
        </w:rPr>
      </w:pPr>
      <w:r>
        <w:rPr>
          <w:rFonts w:ascii="Times New Roman" w:eastAsia="Times New Roman" w:hAnsi="Times New Roman" w:cs="Times New Roman"/>
          <w:b/>
        </w:rPr>
        <w:t>Assessment of Teaching Effectiveness</w:t>
      </w:r>
      <w:r>
        <w:rPr>
          <w:rFonts w:ascii="Times New Roman" w:eastAsia="Times New Roman" w:hAnsi="Times New Roman" w:cs="Times New Roman"/>
        </w:rPr>
        <w:br/>
      </w:r>
      <w:r>
        <w:rPr>
          <w:rFonts w:ascii="Times New Roman" w:eastAsia="Times New Roman" w:hAnsi="Times New Roman" w:cs="Times New Roman"/>
        </w:rPr>
        <w:br/>
        <w:t xml:space="preserve">To implement the provision stipulated in </w:t>
      </w:r>
      <w:hyperlink r:id="rId10" w:anchor="2432C">
        <w:r>
          <w:rPr>
            <w:rFonts w:ascii="Times New Roman" w:eastAsia="Times New Roman" w:hAnsi="Times New Roman" w:cs="Times New Roman"/>
            <w:color w:val="0000FF"/>
            <w:u w:val="single"/>
          </w:rPr>
          <w:t>Section 24-32, Subsection C</w:t>
        </w:r>
      </w:hyperlink>
      <w:r>
        <w:rPr>
          <w:rFonts w:ascii="Times New Roman" w:eastAsia="Times New Roman" w:hAnsi="Times New Roman" w:cs="Times New Roman"/>
        </w:rPr>
        <w:t>, the standardized student assessment of teaching procedure which the University makes available may be used for obtaining student evaluation of teaching effectiveness, unless the c</w:t>
      </w:r>
      <w:r>
        <w:rPr>
          <w:rFonts w:ascii="Times New Roman" w:eastAsia="Times New Roman" w:hAnsi="Times New Roman" w:cs="Times New Roman"/>
        </w:rPr>
        <w:t>ollege, school, or department has adopted an alternate procedure for student evaluation, in which case the latter may be used. Each faculty member shall have at least one course evaluated by students in any academic year during which that member teaches on</w:t>
      </w:r>
      <w:r>
        <w:rPr>
          <w:rFonts w:ascii="Times New Roman" w:eastAsia="Times New Roman" w:hAnsi="Times New Roman" w:cs="Times New Roman"/>
        </w:rPr>
        <w:t>e or more courses. The teaching effectiveness of each faculty member also shall be evaluated by colleagues using procedures adopted within the appropriate department, school, or college.</w:t>
      </w:r>
      <w:r>
        <w:rPr>
          <w:rFonts w:ascii="Times New Roman" w:eastAsia="Times New Roman" w:hAnsi="Times New Roman" w:cs="Times New Roman"/>
        </w:rPr>
        <w:br/>
      </w:r>
      <w:r>
        <w:rPr>
          <w:rFonts w:ascii="Times New Roman" w:eastAsia="Times New Roman" w:hAnsi="Times New Roman" w:cs="Times New Roman"/>
        </w:rPr>
        <w:br/>
        <w:t>The collegial evaluation of teaching effectiveness shall be conducte</w:t>
      </w:r>
      <w:r>
        <w:rPr>
          <w:rFonts w:ascii="Times New Roman" w:eastAsia="Times New Roman" w:hAnsi="Times New Roman" w:cs="Times New Roman"/>
        </w:rPr>
        <w:t xml:space="preserve">d prior to recommending any renewal of appointment or promotion of a faculty member. In addition, for faculty at the rank of assistant professor, or associate professor or professor "without tenure" under </w:t>
      </w:r>
      <w:hyperlink r:id="rId11" w:anchor="2532D">
        <w:r>
          <w:rPr>
            <w:rFonts w:ascii="Times New Roman" w:eastAsia="Times New Roman" w:hAnsi="Times New Roman" w:cs="Times New Roman"/>
            <w:color w:val="0000FF"/>
            <w:u w:val="single"/>
          </w:rPr>
          <w:t>Chapter 25, Section 25-32, Subsection D</w:t>
        </w:r>
      </w:hyperlink>
      <w:r>
        <w:rPr>
          <w:rFonts w:ascii="Times New Roman" w:eastAsia="Times New Roman" w:hAnsi="Times New Roman" w:cs="Times New Roman"/>
        </w:rPr>
        <w:t>, or with the instructional title of lecturer the collegial evaluation shall be conducted every year. For other faculty at the rank of associate professor or professor or with</w:t>
      </w:r>
      <w:r>
        <w:rPr>
          <w:rFonts w:ascii="Times New Roman" w:eastAsia="Times New Roman" w:hAnsi="Times New Roman" w:cs="Times New Roman"/>
        </w:rPr>
        <w:t xml:space="preserve"> the title of senior lecturer, principal lecturer, or professor of practice the collegial evaluation shall be conducted at least every three years. A written report of this evaluation shall be maintained and shared with the faculty member.</w:t>
      </w:r>
    </w:p>
    <w:p w14:paraId="122CC44E" w14:textId="77777777" w:rsidR="003315CA" w:rsidRDefault="003315CA"/>
    <w:p w14:paraId="5A739078" w14:textId="77777777" w:rsidR="003315CA" w:rsidRDefault="003315CA"/>
    <w:p w14:paraId="1E7A24E9" w14:textId="77777777" w:rsidR="003315CA" w:rsidRDefault="003315CA"/>
    <w:p w14:paraId="4EE6C5E7" w14:textId="77777777" w:rsidR="003315CA" w:rsidRDefault="003315CA"/>
    <w:p w14:paraId="0642FECC" w14:textId="77777777" w:rsidR="003315CA" w:rsidRDefault="003315CA"/>
    <w:p w14:paraId="53357D59" w14:textId="77777777" w:rsidR="003315CA" w:rsidRDefault="003315CA"/>
    <w:p w14:paraId="4616A3BC" w14:textId="77777777" w:rsidR="003315CA" w:rsidRDefault="003315CA"/>
    <w:p w14:paraId="6D944C6B" w14:textId="77777777" w:rsidR="003315CA" w:rsidRDefault="003315CA"/>
    <w:p w14:paraId="6D449F00" w14:textId="77777777" w:rsidR="003315CA" w:rsidRDefault="003315CA"/>
    <w:p w14:paraId="7C94C632" w14:textId="77777777" w:rsidR="003315CA" w:rsidRDefault="003315CA"/>
    <w:p w14:paraId="72846E76" w14:textId="77777777" w:rsidR="003315CA" w:rsidRDefault="003315CA"/>
    <w:p w14:paraId="5D8EA046" w14:textId="77777777" w:rsidR="003315CA" w:rsidRDefault="003315CA"/>
    <w:p w14:paraId="43A77D90" w14:textId="77777777" w:rsidR="003315CA" w:rsidRDefault="003315CA"/>
    <w:p w14:paraId="0B88D8E1" w14:textId="77777777" w:rsidR="003315CA" w:rsidRDefault="00862BB9">
      <w:pPr>
        <w:jc w:val="center"/>
        <w:rPr>
          <w:rFonts w:ascii="Times New Roman" w:eastAsia="Times New Roman" w:hAnsi="Times New Roman" w:cs="Times New Roman"/>
          <w:u w:val="single"/>
        </w:rPr>
      </w:pPr>
      <w:r>
        <w:rPr>
          <w:rFonts w:ascii="Times New Roman" w:eastAsia="Times New Roman" w:hAnsi="Times New Roman" w:cs="Times New Roman"/>
          <w:u w:val="single"/>
        </w:rPr>
        <w:t>Proposed Policy on Non-Competitive and Part-Time Faculty Appointments</w:t>
      </w:r>
    </w:p>
    <w:p w14:paraId="1BF4E1DE" w14:textId="77777777" w:rsidR="003315CA" w:rsidRDefault="003315CA">
      <w:pPr>
        <w:rPr>
          <w:rFonts w:ascii="Times New Roman" w:eastAsia="Times New Roman" w:hAnsi="Times New Roman" w:cs="Times New Roman"/>
          <w:u w:val="single"/>
        </w:rPr>
      </w:pPr>
    </w:p>
    <w:p w14:paraId="1C89C8FC" w14:textId="77777777" w:rsidR="003315CA" w:rsidRDefault="00862BB9">
      <w:pPr>
        <w:jc w:val="both"/>
        <w:rPr>
          <w:rFonts w:ascii="Times New Roman" w:eastAsia="Times New Roman" w:hAnsi="Times New Roman" w:cs="Times New Roman"/>
        </w:rPr>
      </w:pPr>
      <w:r>
        <w:rPr>
          <w:rFonts w:ascii="Times New Roman" w:eastAsia="Times New Roman" w:hAnsi="Times New Roman" w:cs="Times New Roman"/>
        </w:rPr>
        <w:t>It is understandable that some level of non-competitive faculty hiring and use of part-time faculty is required. The following policy on non-competitive and part-time hiring processes i</w:t>
      </w:r>
      <w:r>
        <w:rPr>
          <w:rFonts w:ascii="Times New Roman" w:eastAsia="Times New Roman" w:hAnsi="Times New Roman" w:cs="Times New Roman"/>
        </w:rPr>
        <w:t>s introduced to ensure equity, inclusiveness and diversity are incorporated in all aspects of faculty hiring:</w:t>
      </w:r>
    </w:p>
    <w:p w14:paraId="6CF01C06" w14:textId="77777777" w:rsidR="003315CA" w:rsidRDefault="003315CA">
      <w:pPr>
        <w:rPr>
          <w:rFonts w:ascii="Times New Roman" w:eastAsia="Times New Roman" w:hAnsi="Times New Roman" w:cs="Times New Roman"/>
        </w:rPr>
      </w:pPr>
    </w:p>
    <w:p w14:paraId="52700006" w14:textId="77777777" w:rsidR="003315CA" w:rsidRDefault="00862BB9">
      <w:pPr>
        <w:jc w:val="both"/>
        <w:rPr>
          <w:rFonts w:ascii="Times New Roman" w:eastAsia="Times New Roman" w:hAnsi="Times New Roman" w:cs="Times New Roman"/>
        </w:rPr>
      </w:pPr>
      <w:r>
        <w:rPr>
          <w:rFonts w:ascii="Times New Roman" w:eastAsia="Times New Roman" w:hAnsi="Times New Roman" w:cs="Times New Roman"/>
        </w:rPr>
        <w:t xml:space="preserve">Whenever a non-competitive full-time position is filled, (with exception of temporary appointment to cover for a faculty member on sabbatical) a </w:t>
      </w:r>
      <w:r>
        <w:rPr>
          <w:rFonts w:ascii="Times New Roman" w:eastAsia="Times New Roman" w:hAnsi="Times New Roman" w:cs="Times New Roman"/>
        </w:rPr>
        <w:t>competitive hiring process must be immediately undertaken to fill the position through a diversity focused and inclusive process. Non-competitive full-time faculty appointments may be made for a maximum of one year and may be renewed for a maximum of one m</w:t>
      </w:r>
      <w:r>
        <w:rPr>
          <w:rFonts w:ascii="Times New Roman" w:eastAsia="Times New Roman" w:hAnsi="Times New Roman" w:cs="Times New Roman"/>
        </w:rPr>
        <w:t>ore year, if required to complete the competitive hiring process. Any further extension must be justified for review and potential approval by the Appointment, Promotion and Tenure (APT) Committee (per the faculty responsibility over appointment*). The APT</w:t>
      </w:r>
      <w:r>
        <w:rPr>
          <w:rFonts w:ascii="Times New Roman" w:eastAsia="Times New Roman" w:hAnsi="Times New Roman" w:cs="Times New Roman"/>
        </w:rPr>
        <w:t xml:space="preserve"> will not allow such approval for more than one final year. </w:t>
      </w:r>
    </w:p>
    <w:p w14:paraId="2DBDCB1C" w14:textId="77777777" w:rsidR="003315CA" w:rsidRDefault="003315CA">
      <w:pPr>
        <w:rPr>
          <w:rFonts w:ascii="Times New Roman" w:eastAsia="Times New Roman" w:hAnsi="Times New Roman" w:cs="Times New Roman"/>
        </w:rPr>
      </w:pPr>
    </w:p>
    <w:p w14:paraId="6525BE59" w14:textId="77777777" w:rsidR="003315CA" w:rsidRDefault="00862BB9">
      <w:pPr>
        <w:jc w:val="both"/>
        <w:rPr>
          <w:rFonts w:ascii="Times New Roman" w:eastAsia="Times New Roman" w:hAnsi="Times New Roman" w:cs="Times New Roman"/>
        </w:rPr>
      </w:pPr>
      <w:r>
        <w:rPr>
          <w:rFonts w:ascii="Times New Roman" w:eastAsia="Times New Roman" w:hAnsi="Times New Roman" w:cs="Times New Roman"/>
        </w:rPr>
        <w:t xml:space="preserve">Most part time faculty positions should exist to satisfy unexpected shortcomings in faculty course coverage. When a college or school** makes use of part-time faculty to cover the equivalent of </w:t>
      </w:r>
      <w:r>
        <w:rPr>
          <w:rFonts w:ascii="Times New Roman" w:eastAsia="Times New Roman" w:hAnsi="Times New Roman" w:cs="Times New Roman"/>
        </w:rPr>
        <w:t xml:space="preserve">two full-time faculty positions for a period of two consecutive years, a competitive hiring process must be undertaken for at least one full-time position at the beginning of the third year. </w:t>
      </w:r>
    </w:p>
    <w:p w14:paraId="7404399D" w14:textId="77777777" w:rsidR="003315CA" w:rsidRDefault="003315CA">
      <w:pPr>
        <w:rPr>
          <w:rFonts w:ascii="Times New Roman" w:eastAsia="Times New Roman" w:hAnsi="Times New Roman" w:cs="Times New Roman"/>
        </w:rPr>
      </w:pPr>
    </w:p>
    <w:p w14:paraId="612341B5" w14:textId="77777777" w:rsidR="003315CA" w:rsidRDefault="00862BB9">
      <w:pPr>
        <w:jc w:val="both"/>
        <w:rPr>
          <w:rFonts w:ascii="Times New Roman" w:eastAsia="Times New Roman" w:hAnsi="Times New Roman" w:cs="Times New Roman"/>
        </w:rPr>
      </w:pPr>
      <w:r>
        <w:rPr>
          <w:rFonts w:ascii="Times New Roman" w:eastAsia="Times New Roman" w:hAnsi="Times New Roman" w:cs="Times New Roman"/>
        </w:rPr>
        <w:t>An academic program may apply to the Appointment, Promotion and</w:t>
      </w:r>
      <w:r>
        <w:rPr>
          <w:rFonts w:ascii="Times New Roman" w:eastAsia="Times New Roman" w:hAnsi="Times New Roman" w:cs="Times New Roman"/>
        </w:rPr>
        <w:t xml:space="preserve"> Tenure Committee for a specific faculty member’s appointment to be considered exempt from these standards due to a persistent need for a clinical and/or professional appointment.</w:t>
      </w:r>
    </w:p>
    <w:p w14:paraId="209C9865" w14:textId="77777777" w:rsidR="003315CA" w:rsidRDefault="003315CA">
      <w:pPr>
        <w:rPr>
          <w:rFonts w:ascii="Times New Roman" w:eastAsia="Times New Roman" w:hAnsi="Times New Roman" w:cs="Times New Roman"/>
        </w:rPr>
      </w:pPr>
    </w:p>
    <w:p w14:paraId="328F13CA" w14:textId="77777777" w:rsidR="003315CA" w:rsidRDefault="003315CA">
      <w:pPr>
        <w:rPr>
          <w:rFonts w:ascii="Times New Roman" w:eastAsia="Times New Roman" w:hAnsi="Times New Roman" w:cs="Times New Roman"/>
          <w:i/>
        </w:rPr>
      </w:pPr>
    </w:p>
    <w:p w14:paraId="35F6EF98" w14:textId="77777777" w:rsidR="003315CA" w:rsidRDefault="00862BB9">
      <w:pPr>
        <w:rPr>
          <w:rFonts w:ascii="Times New Roman" w:eastAsia="Times New Roman" w:hAnsi="Times New Roman" w:cs="Times New Roman"/>
        </w:rPr>
      </w:pPr>
      <w:r>
        <w:rPr>
          <w:rFonts w:ascii="Times New Roman" w:eastAsia="Times New Roman" w:hAnsi="Times New Roman" w:cs="Times New Roman"/>
        </w:rPr>
        <w:t xml:space="preserve">* “In accordance with </w:t>
      </w:r>
      <w:hyperlink r:id="rId12">
        <w:r>
          <w:rPr>
            <w:rFonts w:ascii="Times New Roman" w:eastAsia="Times New Roman" w:hAnsi="Times New Roman" w:cs="Times New Roman"/>
            <w:color w:val="0000FF"/>
            <w:u w:val="single"/>
          </w:rPr>
          <w:t>Executive Order No. IV</w:t>
        </w:r>
      </w:hyperlink>
      <w:r>
        <w:rPr>
          <w:rFonts w:ascii="Times New Roman" w:eastAsia="Times New Roman" w:hAnsi="Times New Roman" w:cs="Times New Roman"/>
        </w:rPr>
        <w:t xml:space="preserve">, Legislative Authority of the Faculty, the faculty of the University of Washington Tacoma shares with its Chancellor the responsibility for…Criteria for faculty tenure, appointment, and promotion…” – </w:t>
      </w:r>
      <w:hyperlink r:id="rId13">
        <w:r>
          <w:rPr>
            <w:rFonts w:ascii="Times New Roman" w:eastAsia="Times New Roman" w:hAnsi="Times New Roman" w:cs="Times New Roman"/>
            <w:color w:val="0000FF"/>
            <w:u w:val="single"/>
          </w:rPr>
          <w:t>Faculty Assembly Bylaws</w:t>
        </w:r>
      </w:hyperlink>
    </w:p>
    <w:p w14:paraId="5D52716F" w14:textId="77777777" w:rsidR="003315CA" w:rsidRDefault="00862BB9">
      <w:pPr>
        <w:rPr>
          <w:rFonts w:ascii="Times New Roman" w:eastAsia="Times New Roman" w:hAnsi="Times New Roman" w:cs="Times New Roman"/>
        </w:rPr>
      </w:pPr>
      <w:r>
        <w:rPr>
          <w:rFonts w:ascii="Times New Roman" w:eastAsia="Times New Roman" w:hAnsi="Times New Roman" w:cs="Times New Roman"/>
        </w:rPr>
        <w:t xml:space="preserve">*Faculty Responsibility over appointment also found in the Faculty Code, </w:t>
      </w:r>
      <w:hyperlink r:id="rId14" w:anchor="2343">
        <w:r>
          <w:rPr>
            <w:rFonts w:ascii="Times New Roman" w:eastAsia="Times New Roman" w:hAnsi="Times New Roman" w:cs="Times New Roman"/>
            <w:color w:val="0000FF"/>
            <w:u w:val="single"/>
          </w:rPr>
          <w:t>Section 23-43.B</w:t>
        </w:r>
      </w:hyperlink>
    </w:p>
    <w:p w14:paraId="3ED699A6" w14:textId="77777777" w:rsidR="003315CA" w:rsidRDefault="003315CA">
      <w:pPr>
        <w:rPr>
          <w:rFonts w:ascii="Times New Roman" w:eastAsia="Times New Roman" w:hAnsi="Times New Roman" w:cs="Times New Roman"/>
        </w:rPr>
      </w:pPr>
    </w:p>
    <w:p w14:paraId="49D1457A" w14:textId="77777777" w:rsidR="003315CA" w:rsidRDefault="003315CA">
      <w:pPr>
        <w:rPr>
          <w:rFonts w:ascii="Times New Roman" w:eastAsia="Times New Roman" w:hAnsi="Times New Roman" w:cs="Times New Roman"/>
        </w:rPr>
      </w:pPr>
    </w:p>
    <w:p w14:paraId="7C6340CB" w14:textId="77777777" w:rsidR="003315CA" w:rsidRDefault="00862BB9">
      <w:pPr>
        <w:rPr>
          <w:rFonts w:ascii="Times New Roman" w:eastAsia="Times New Roman" w:hAnsi="Times New Roman" w:cs="Times New Roman"/>
        </w:rPr>
      </w:pPr>
      <w:r>
        <w:rPr>
          <w:rFonts w:ascii="Times New Roman" w:eastAsia="Times New Roman" w:hAnsi="Times New Roman" w:cs="Times New Roman"/>
        </w:rPr>
        <w:t xml:space="preserve">**Department where the Regents have not yet created a college or school headed by a dean within the University of Washington Tacoma as described in </w:t>
      </w:r>
      <w:hyperlink r:id="rId15">
        <w:r>
          <w:rPr>
            <w:rFonts w:ascii="Times New Roman" w:eastAsia="Times New Roman" w:hAnsi="Times New Roman" w:cs="Times New Roman"/>
            <w:color w:val="0000FF"/>
            <w:u w:val="single"/>
          </w:rPr>
          <w:t>Executive Order V</w:t>
        </w:r>
      </w:hyperlink>
      <w:r>
        <w:rPr>
          <w:rFonts w:ascii="Times New Roman" w:eastAsia="Times New Roman" w:hAnsi="Times New Roman" w:cs="Times New Roman"/>
        </w:rPr>
        <w:t>.</w:t>
      </w:r>
    </w:p>
    <w:p w14:paraId="06B9A608" w14:textId="77777777" w:rsidR="003315CA" w:rsidRDefault="003315CA">
      <w:pPr>
        <w:rPr>
          <w:rFonts w:ascii="Times New Roman" w:eastAsia="Times New Roman" w:hAnsi="Times New Roman" w:cs="Times New Roman"/>
        </w:rPr>
      </w:pPr>
    </w:p>
    <w:p w14:paraId="1B23452B" w14:textId="77777777" w:rsidR="003315CA" w:rsidRDefault="003315CA">
      <w:pPr>
        <w:rPr>
          <w:rFonts w:ascii="Times New Roman" w:eastAsia="Times New Roman" w:hAnsi="Times New Roman" w:cs="Times New Roman"/>
        </w:rPr>
      </w:pPr>
    </w:p>
    <w:p w14:paraId="3321484E" w14:textId="77777777" w:rsidR="003315CA" w:rsidRDefault="00862BB9">
      <w:pPr>
        <w:rPr>
          <w:rFonts w:ascii="Times New Roman" w:eastAsia="Times New Roman" w:hAnsi="Times New Roman" w:cs="Times New Roman"/>
          <w:i/>
        </w:rPr>
      </w:pPr>
      <w:r>
        <w:rPr>
          <w:rFonts w:ascii="Times New Roman" w:eastAsia="Times New Roman" w:hAnsi="Times New Roman" w:cs="Times New Roman"/>
          <w:i/>
        </w:rPr>
        <w:t>Approved by the Faculty Affairs Committee 11.13.17</w:t>
      </w:r>
    </w:p>
    <w:p w14:paraId="1EDFAF54" w14:textId="77777777" w:rsidR="003315CA" w:rsidRDefault="003315CA"/>
    <w:sectPr w:rsidR="003315CA">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14540" w14:textId="77777777" w:rsidR="00862BB9" w:rsidRDefault="00862BB9">
      <w:r>
        <w:separator/>
      </w:r>
    </w:p>
  </w:endnote>
  <w:endnote w:type="continuationSeparator" w:id="0">
    <w:p w14:paraId="433E34A5" w14:textId="77777777" w:rsidR="00862BB9" w:rsidRDefault="0086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B70D" w14:textId="77777777" w:rsidR="003315CA" w:rsidRDefault="00862BB9">
    <w:pPr>
      <w:tabs>
        <w:tab w:val="center" w:pos="4680"/>
        <w:tab w:val="right" w:pos="9360"/>
      </w:tabs>
      <w:jc w:val="right"/>
    </w:pPr>
    <w:r>
      <w:fldChar w:fldCharType="begin"/>
    </w:r>
    <w:r>
      <w:instrText>PAGE</w:instrText>
    </w:r>
    <w:r w:rsidR="00062D4C">
      <w:fldChar w:fldCharType="separate"/>
    </w:r>
    <w:r w:rsidR="00062D4C">
      <w:rPr>
        <w:noProof/>
      </w:rPr>
      <w:t>1</w:t>
    </w:r>
    <w:r>
      <w:fldChar w:fldCharType="end"/>
    </w:r>
  </w:p>
  <w:p w14:paraId="0F0B2912" w14:textId="77777777" w:rsidR="003315CA" w:rsidRDefault="003315CA">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12B95" w14:textId="77777777" w:rsidR="00862BB9" w:rsidRDefault="00862BB9">
      <w:r>
        <w:separator/>
      </w:r>
    </w:p>
  </w:footnote>
  <w:footnote w:type="continuationSeparator" w:id="0">
    <w:p w14:paraId="0A2D0F61" w14:textId="77777777" w:rsidR="00862BB9" w:rsidRDefault="00862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E6224"/>
    <w:multiLevelType w:val="multilevel"/>
    <w:tmpl w:val="9C1431E2"/>
    <w:lvl w:ilvl="0">
      <w:start w:val="1"/>
      <w:numFmt w:val="decimal"/>
      <w:lvlText w:val="%1)"/>
      <w:lvlJc w:val="left"/>
      <w:pPr>
        <w:ind w:left="360" w:hanging="360"/>
      </w:pPr>
      <w:rPr>
        <w:i w:val="0"/>
      </w:rPr>
    </w:lvl>
    <w:lvl w:ilvl="1">
      <w:start w:val="1"/>
      <w:numFmt w:val="bullet"/>
      <w:lvlText w:val="●"/>
      <w:lvlJc w:val="left"/>
      <w:pPr>
        <w:ind w:left="720" w:hanging="360"/>
      </w:pPr>
      <w:rPr>
        <w:rFonts w:ascii="Noto Sans Symbols" w:eastAsia="Noto Sans Symbols" w:hAnsi="Noto Sans Symbols" w:cs="Noto Sans Symbols"/>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135AD3"/>
    <w:multiLevelType w:val="multilevel"/>
    <w:tmpl w:val="1CDEE730"/>
    <w:lvl w:ilvl="0">
      <w:start w:val="1"/>
      <w:numFmt w:val="decimal"/>
      <w:lvlText w:val="%1)"/>
      <w:lvlJc w:val="left"/>
      <w:pPr>
        <w:ind w:left="360" w:hanging="360"/>
      </w:pPr>
      <w:rPr>
        <w:i w:val="0"/>
      </w:rPr>
    </w:lvl>
    <w:lvl w:ilvl="1">
      <w:start w:val="1"/>
      <w:numFmt w:val="bullet"/>
      <w:lvlText w:val="●"/>
      <w:lvlJc w:val="left"/>
      <w:pPr>
        <w:ind w:left="720" w:hanging="360"/>
      </w:pPr>
      <w:rPr>
        <w:rFonts w:ascii="Noto Sans Symbols" w:eastAsia="Noto Sans Symbols" w:hAnsi="Noto Sans Symbols" w:cs="Noto Sans Symbols"/>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B11168"/>
    <w:multiLevelType w:val="multilevel"/>
    <w:tmpl w:val="0AEA0F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B0272BA"/>
    <w:multiLevelType w:val="multilevel"/>
    <w:tmpl w:val="14E04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CA"/>
    <w:rsid w:val="00062D4C"/>
    <w:rsid w:val="003315CA"/>
    <w:rsid w:val="0086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4415"/>
  <w15:docId w15:val="{10388E65-AF8F-447A-8BBA-05CC3403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washington.edu/admin/rules/policies/PO/EOV.html" TargetMode="External"/><Relationship Id="rId13" Type="http://schemas.openxmlformats.org/officeDocument/2006/relationships/hyperlink" Target="http://www.tacoma.uw.edu/sites/default/files/sections/FacultyAssembly/UWT_Bylaws_Final-060617.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washington.edu/admin/rules/policies/PO/EOIV.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shington.edu/admin/rules/policies/FCG/FCCH25.html" TargetMode="External"/><Relationship Id="rId5" Type="http://schemas.openxmlformats.org/officeDocument/2006/relationships/footnotes" Target="footnotes.xml"/><Relationship Id="rId15" Type="http://schemas.openxmlformats.org/officeDocument/2006/relationships/hyperlink" Target="http://www.washington.edu/admin/rules/policies/PO/EOV.html" TargetMode="External"/><Relationship Id="rId10" Type="http://schemas.openxmlformats.org/officeDocument/2006/relationships/hyperlink" Target="http://www.washington.edu/admin/rules/policies/FCG/FCCH24.html" TargetMode="External"/><Relationship Id="rId4" Type="http://schemas.openxmlformats.org/officeDocument/2006/relationships/webSettings" Target="webSettings.xml"/><Relationship Id="rId9" Type="http://schemas.openxmlformats.org/officeDocument/2006/relationships/hyperlink" Target="http://www.washington.edu/admin/rules/policies/FCG/FCCH24.html" TargetMode="External"/><Relationship Id="rId14" Type="http://schemas.openxmlformats.org/officeDocument/2006/relationships/hyperlink" Target="http://www.washington.edu/admin/rules/policies/FCG/FCCH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Elijah Ward</dc:creator>
  <cp:lastModifiedBy>Ruth C. Ward</cp:lastModifiedBy>
  <cp:revision>2</cp:revision>
  <dcterms:created xsi:type="dcterms:W3CDTF">2018-04-11T15:15:00Z</dcterms:created>
  <dcterms:modified xsi:type="dcterms:W3CDTF">2018-04-11T15:15:00Z</dcterms:modified>
</cp:coreProperties>
</file>