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Friday, 11/25/19, 12:30 – 1:20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12:30- 12:35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11/8/19 Meeting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11, 2020/ 12:30-1:30 p.m. /Non-Tenure Track Faculty/ Dawn Lucien Boardroom (GWP 320)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12:30-1:30 p.m. /Combined Faculty/ Dawn Lucien Boardroom (GWP 320)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RAC Chair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Update: Tri-Campus Policy Committee- Sarah Hampson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 31, 2020 Open Faculty Session with Chancellor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jmpfgraw1nj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12:35-12:45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EVCAA Report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12:45- 12:55 p.m.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SIAS Faculty Development Fund Policy- Luther Adams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hanging="21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12:55- 1:05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Discussion: Margin Enhancement Exercise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5">
      <w:pPr>
        <w:ind w:left="2235" w:hanging="22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1:05– 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Childcare &amp; Family Support Services- Kristi M. Soriano-Noceda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1:20- 1:20 p.m.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Key Topics (If time permits)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-685796</wp:posOffset>
          </wp:positionH>
          <wp:positionV relativeFrom="paragraph">
            <wp:posOffset>-219070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