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Policy &amp; Curriculum Committee Minutes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September 25, 2019, GWP 320 12:30-2:00 pm 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Chair Robin Evans-Agnew,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LeAnne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Laux-Bachand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Laura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Feuerborn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Shankus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Anderson, Tammy Jez,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Jutta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Heller Jeff Cohen, Andrea Coker-Anderson, Laurel Hicks, Ruth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Vanderpool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Eric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Madfis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Anthony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Falit-Baiamonte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Joined through Zoom: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Menaka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Abraham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Excused:  Guests: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Faculty Assembly Chair Dr. Marian Harris, Faculty Assembly Vice Chair Dr. Sarah Hampson Ariana Ochoa Camacho, Maria-Tania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Weingarden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Administrative Support: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Andrew Seibert</w:t>
      </w:r>
    </w:p>
    <w:p w:rsidR="00F12C4B" w:rsidRDefault="002F1AD0">
      <w:pPr>
        <w:pStyle w:val="Heading1"/>
      </w:pPr>
      <w:r>
        <w:t xml:space="preserve"> 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2C4B" w:rsidRDefault="002F1AD0">
      <w:pPr>
        <w:pStyle w:val="Heading2"/>
        <w:numPr>
          <w:ilvl w:val="0"/>
          <w:numId w:val="1"/>
        </w:numPr>
        <w:tabs>
          <w:tab w:val="center" w:pos="2853"/>
        </w:tabs>
        <w:spacing w:after="0"/>
        <w:rPr>
          <w:b/>
        </w:rPr>
      </w:pPr>
      <w:r>
        <w:rPr>
          <w:b/>
        </w:rPr>
        <w:t>Consent Agenda &amp; Recording Permission</w:t>
      </w:r>
    </w:p>
    <w:p w:rsidR="00F12C4B" w:rsidRDefault="00F12C4B">
      <w:pPr>
        <w:pStyle w:val="Heading2"/>
        <w:tabs>
          <w:tab w:val="center" w:pos="2853"/>
        </w:tabs>
        <w:spacing w:after="0"/>
        <w:ind w:left="735" w:firstLine="0"/>
        <w:rPr>
          <w:b/>
        </w:rPr>
      </w:pPr>
    </w:p>
    <w:p w:rsidR="00F12C4B" w:rsidRDefault="002F1AD0">
      <w:pPr>
        <w:pStyle w:val="Heading2"/>
        <w:tabs>
          <w:tab w:val="center" w:pos="2853"/>
        </w:tabs>
        <w:spacing w:after="0"/>
        <w:ind w:left="735" w:firstLine="0"/>
      </w:pPr>
      <w:r>
        <w:t xml:space="preserve">Agenda verified and </w:t>
      </w:r>
      <w:r>
        <w:t xml:space="preserve">recording permissions granted by the committee 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and Introductions (See Presentation)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</w:pPr>
      <w:r>
        <w:t xml:space="preserve">New Members: Laura </w:t>
      </w:r>
      <w:proofErr w:type="spellStart"/>
      <w:r>
        <w:t>Feuerborn</w:t>
      </w:r>
      <w:proofErr w:type="spellEnd"/>
      <w:r>
        <w:t xml:space="preserve">, Eric </w:t>
      </w:r>
      <w:proofErr w:type="spellStart"/>
      <w:r>
        <w:t>Madfis</w:t>
      </w:r>
      <w:proofErr w:type="spellEnd"/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</w:pPr>
      <w:r>
        <w:t>Outgoing members: Jeff Cohen</w:t>
      </w: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</w:pPr>
      <w:hyperlink r:id="rId6">
        <w:r>
          <w:rPr>
            <w:color w:val="1155CC"/>
            <w:u w:val="single"/>
          </w:rPr>
          <w:t>Presentation</w:t>
        </w:r>
      </w:hyperlink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C4B" w:rsidRDefault="002F1AD0">
      <w:pPr>
        <w:numPr>
          <w:ilvl w:val="0"/>
          <w:numId w:val="9"/>
        </w:num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June 5, 2019 - 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 in APCC Canvas –9.25.19 Module</w:t>
      </w:r>
    </w:p>
    <w:p w:rsidR="00F12C4B" w:rsidRDefault="00F12C4B">
      <w:pPr>
        <w:spacing w:after="0"/>
      </w:pPr>
    </w:p>
    <w:p w:rsidR="00F12C4B" w:rsidRDefault="002F1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Edits requested in Minutes from June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2019</w:t>
      </w:r>
    </w:p>
    <w:p w:rsidR="00F12C4B" w:rsidRDefault="002F1A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 Course Change Proposal</w:t>
      </w:r>
    </w:p>
    <w:p w:rsidR="00F12C4B" w:rsidRDefault="002F1A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TMATH 120: Keep placement requirements of </w:t>
      </w:r>
      <w:proofErr w:type="spellStart"/>
      <w:r>
        <w:rPr>
          <w:color w:val="000000"/>
        </w:rPr>
        <w:t>Accuplacer</w:t>
      </w:r>
      <w:proofErr w:type="spellEnd"/>
      <w:r>
        <w:rPr>
          <w:color w:val="000000"/>
        </w:rPr>
        <w:t>, update description.</w:t>
      </w:r>
    </w:p>
    <w:p w:rsidR="00F12C4B" w:rsidRDefault="002F1A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Motion to approve the Minutes on June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2019 with corrections listed above made by Chair Robin Evans-Agnew. </w:t>
      </w:r>
      <w:proofErr w:type="spellStart"/>
      <w:r>
        <w:rPr>
          <w:color w:val="000000"/>
        </w:rPr>
        <w:t>LeAnne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Laux-Bachand</w:t>
      </w:r>
      <w:proofErr w:type="spellEnd"/>
      <w:r>
        <w:rPr>
          <w:color w:val="000000"/>
        </w:rPr>
        <w:t xml:space="preserve"> moves, Ruth </w:t>
      </w:r>
      <w:proofErr w:type="spellStart"/>
      <w:r>
        <w:rPr>
          <w:color w:val="000000"/>
        </w:rPr>
        <w:t>Vande</w:t>
      </w:r>
      <w:r>
        <w:rPr>
          <w:color w:val="000000"/>
        </w:rPr>
        <w:t>rpool</w:t>
      </w:r>
      <w:proofErr w:type="spellEnd"/>
      <w:r>
        <w:rPr>
          <w:color w:val="000000"/>
        </w:rPr>
        <w:t xml:space="preserve"> seconds the motion.</w:t>
      </w:r>
    </w:p>
    <w:p w:rsidR="00F12C4B" w:rsidRDefault="002F1A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Votes:</w:t>
      </w:r>
      <w:r>
        <w:rPr>
          <w:color w:val="000000"/>
        </w:rPr>
        <w:t xml:space="preserve"> </w:t>
      </w:r>
      <w:r>
        <w:rPr>
          <w:i/>
          <w:color w:val="000000"/>
        </w:rPr>
        <w:t>8 yes, 0 no, 0 abstentions</w:t>
      </w:r>
    </w:p>
    <w:p w:rsidR="00F12C4B" w:rsidRDefault="002F1AD0" w:rsidP="002F1AD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Minutes </w:t>
      </w:r>
      <w:r>
        <w:rPr>
          <w:color w:val="FF0000"/>
        </w:rPr>
        <w:t>unanimously</w:t>
      </w:r>
      <w:r>
        <w:rPr>
          <w:color w:val="000000"/>
        </w:rPr>
        <w:t xml:space="preserve"> approved by the committee</w:t>
      </w:r>
      <w:bookmarkStart w:id="0" w:name="_GoBack"/>
      <w:bookmarkEnd w:id="0"/>
    </w:p>
    <w:p w:rsidR="00F12C4B" w:rsidRDefault="00F12C4B">
      <w:pPr>
        <w:spacing w:after="0"/>
        <w:ind w:left="720"/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:rsidR="00F12C4B" w:rsidRDefault="002F1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30j0zll" w:colFirst="0" w:colLast="0"/>
      <w:bookmarkEnd w:id="1"/>
      <w:r>
        <w:rPr>
          <w:color w:val="000000"/>
        </w:rPr>
        <w:t>2019-2020 UWCC Meetings</w:t>
      </w:r>
    </w:p>
    <w:p w:rsidR="00F12C4B" w:rsidRDefault="002F1A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Anthony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Falit-Baiamonte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attend the November meeting either in Seattle or on Zoom</w:t>
      </w:r>
    </w:p>
    <w:p w:rsidR="00F12C4B" w:rsidRDefault="002F1A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Feuerborn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attend the June 2020 meeting either in Seattle or on Zoom</w:t>
      </w: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Guests - FA Chair and Vice Chair</w:t>
      </w:r>
    </w:p>
    <w:p w:rsidR="00F12C4B" w:rsidRDefault="002F1A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Dr. Marian Harris and Dr. Sarah Hampson are following up with all Standing Committees regarding their Charge and to follow their Charge.</w:t>
      </w:r>
    </w:p>
    <w:p w:rsidR="00F12C4B" w:rsidRDefault="002F1A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let them know if you have any assistance or questions</w:t>
      </w:r>
    </w:p>
    <w:p w:rsidR="00F12C4B" w:rsidRDefault="002F1A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take the Climate Survey and remind your students.</w:t>
      </w:r>
    </w:p>
    <w:p w:rsidR="00F12C4B" w:rsidRDefault="002F1A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Climate Survey opens October 8</w:t>
      </w:r>
      <w:r>
        <w:rPr>
          <w:color w:val="000000"/>
          <w:vertAlign w:val="superscript"/>
        </w:rPr>
        <w:t>th</w:t>
      </w:r>
      <w:r>
        <w:rPr>
          <w:color w:val="000000"/>
        </w:rPr>
        <w:t>, 2019 and closes on November 8</w:t>
      </w:r>
      <w:r>
        <w:rPr>
          <w:color w:val="000000"/>
          <w:vertAlign w:val="superscript"/>
        </w:rPr>
        <w:t>th</w:t>
      </w:r>
      <w:r>
        <w:rPr>
          <w:color w:val="000000"/>
        </w:rPr>
        <w:t>, 2019 at 11:59</w:t>
      </w:r>
    </w:p>
    <w:p w:rsidR="00F12C4B" w:rsidRDefault="002F1A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Goals of Faculty Assembly for 2019-2020 Academic year</w:t>
      </w:r>
    </w:p>
    <w:p w:rsidR="00F12C4B" w:rsidRDefault="002F1A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</w:t>
      </w:r>
      <w:r>
        <w:rPr>
          <w:color w:val="000000"/>
        </w:rPr>
        <w:t>active in promoting Equity and Inclusion.</w:t>
      </w:r>
    </w:p>
    <w:p w:rsidR="00F12C4B" w:rsidRDefault="002F1A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Provide reliable information regarding the budget and budget processes to faculty.</w:t>
      </w:r>
    </w:p>
    <w:p w:rsidR="00F12C4B" w:rsidRDefault="002F1AD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Campus-wide budgets, and school budget.</w:t>
      </w:r>
    </w:p>
    <w:p w:rsidR="00F12C4B" w:rsidRDefault="002F1AD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 be starting in the Executive Council meeting on September 30</w:t>
      </w:r>
      <w:r>
        <w:rPr>
          <w:color w:val="000000"/>
          <w:vertAlign w:val="superscript"/>
        </w:rPr>
        <w:t>th</w:t>
      </w:r>
      <w:r>
        <w:rPr>
          <w:color w:val="000000"/>
        </w:rPr>
        <w:t>, 2019.</w:t>
      </w:r>
    </w:p>
    <w:p w:rsidR="00F12C4B" w:rsidRDefault="002F1AD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Communicate with</w:t>
      </w:r>
      <w:r>
        <w:rPr>
          <w:color w:val="000000"/>
        </w:rPr>
        <w:t xml:space="preserve"> your units and representatives.</w:t>
      </w: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Planning Notice of Intent(s)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</w:p>
    <w:p w:rsidR="00F12C4B" w:rsidRDefault="002F1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Rubric</w:t>
      </w:r>
    </w:p>
    <w:p w:rsidR="00F12C4B" w:rsidRDefault="002F1AD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Discussion on changes of Rubric</w:t>
      </w:r>
    </w:p>
    <w:p w:rsidR="00F12C4B" w:rsidRDefault="002F1AD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Campus-wide balance of Academic Disciplines.</w:t>
      </w:r>
    </w:p>
    <w:p w:rsidR="00F12C4B" w:rsidRDefault="002F1AD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Criterion language should be changed to: “Campus-wide balance of academic disciplines and programs.”</w:t>
      </w:r>
    </w:p>
    <w:p w:rsidR="00F12C4B" w:rsidRDefault="002F1AD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This document will be brought back in the next meeting on October 9</w:t>
      </w:r>
      <w:r>
        <w:rPr>
          <w:color w:val="000000"/>
          <w:vertAlign w:val="superscript"/>
        </w:rPr>
        <w:t>th</w:t>
      </w:r>
      <w:r>
        <w:rPr>
          <w:color w:val="000000"/>
        </w:rPr>
        <w:t>, 2019.</w:t>
      </w:r>
    </w:p>
    <w:p w:rsidR="00F12C4B" w:rsidRDefault="002F1A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>: School Psychology</w:t>
      </w:r>
    </w:p>
    <w:p w:rsidR="00F12C4B" w:rsidRDefault="002F1A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Context of </w:t>
      </w:r>
      <w:proofErr w:type="spellStart"/>
      <w:r>
        <w:rPr>
          <w:color w:val="000000"/>
        </w:rPr>
        <w:t>EdS</w:t>
      </w:r>
      <w:proofErr w:type="spellEnd"/>
    </w:p>
    <w:p w:rsidR="00F12C4B" w:rsidRDefault="002F1A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2016- Graduate school approved PNOI and gave the okay to develop the full proposal.</w:t>
      </w:r>
    </w:p>
    <w:p w:rsidR="00F12C4B" w:rsidRDefault="002F1A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There was a concern made via UWT Library last meeting.</w:t>
      </w:r>
    </w:p>
    <w:p w:rsidR="00F12C4B" w:rsidRDefault="002F1AD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Update on concern: There is not enough demand from the UWT Library to support, however if the budget gets through other PNOI’s, it may be possible. Seattle tuition is higher, making it a concern for them versus the Tacoma campus, however Seattle has given </w:t>
      </w:r>
      <w:r>
        <w:rPr>
          <w:color w:val="000000"/>
        </w:rPr>
        <w:t>the School of Education their blessing. No tuition exemption</w:t>
      </w:r>
    </w:p>
    <w:p w:rsidR="00F12C4B" w:rsidRDefault="002F1A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FF0000"/>
        </w:rPr>
        <w:t>Motion</w:t>
      </w:r>
      <w:r>
        <w:rPr>
          <w:color w:val="000000"/>
        </w:rPr>
        <w:t xml:space="preserve"> to approve the move the full proposal of </w:t>
      </w: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 xml:space="preserve"> School Psych forward by </w:t>
      </w:r>
      <w:proofErr w:type="spellStart"/>
      <w:r>
        <w:rPr>
          <w:color w:val="000000"/>
        </w:rPr>
        <w:t>Evy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Shankus</w:t>
      </w:r>
      <w:proofErr w:type="spellEnd"/>
      <w:r>
        <w:rPr>
          <w:color w:val="000000"/>
        </w:rPr>
        <w:t xml:space="preserve">, Seconded by </w:t>
      </w:r>
      <w:proofErr w:type="spellStart"/>
      <w:r>
        <w:rPr>
          <w:color w:val="000000"/>
        </w:rPr>
        <w:t>Jutta</w:t>
      </w:r>
      <w:proofErr w:type="spellEnd"/>
      <w:r>
        <w:rPr>
          <w:color w:val="000000"/>
        </w:rPr>
        <w:t xml:space="preserve"> Heller</w:t>
      </w:r>
    </w:p>
    <w:p w:rsidR="00F12C4B" w:rsidRDefault="002F1AD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color w:val="000000"/>
        </w:rPr>
        <w:t>Vote:</w:t>
      </w:r>
      <w:r>
        <w:rPr>
          <w:i/>
          <w:color w:val="000000"/>
        </w:rPr>
        <w:t xml:space="preserve"> 9 yes, 0 no, 0 abstentions.</w:t>
      </w:r>
    </w:p>
    <w:p w:rsidR="00F12C4B" w:rsidRDefault="002F1AD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color w:val="000000"/>
        </w:rPr>
        <w:t xml:space="preserve">The committee </w:t>
      </w:r>
      <w:r>
        <w:rPr>
          <w:color w:val="FF0000"/>
        </w:rPr>
        <w:t>unanimously</w:t>
      </w:r>
      <w:r>
        <w:rPr>
          <w:color w:val="000000"/>
        </w:rPr>
        <w:t xml:space="preserve"> moved to move </w:t>
      </w: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 xml:space="preserve"> in School Psychology forward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</w:p>
    <w:p w:rsidR="00F12C4B" w:rsidRDefault="002F1A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BS Mechanical Engineering</w:t>
      </w:r>
    </w:p>
    <w:p w:rsidR="00F12C4B" w:rsidRDefault="002F1A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Issue from SIAS regarding 4 faculty support line, when one is in the proposal</w:t>
      </w:r>
    </w:p>
    <w:p w:rsidR="00F12C4B" w:rsidRDefault="002F1A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Lab space availability won’t be until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2023, and the call on the community lab space is vague.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Strategic plan for this will need to be more specific</w:t>
      </w:r>
    </w:p>
    <w:p w:rsidR="00F12C4B" w:rsidRDefault="002F1A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The Committee would like clarification from Raj </w:t>
      </w:r>
      <w:proofErr w:type="spellStart"/>
      <w:r>
        <w:rPr>
          <w:color w:val="000000"/>
        </w:rPr>
        <w:t>Katti</w:t>
      </w:r>
      <w:proofErr w:type="spellEnd"/>
      <w:r>
        <w:rPr>
          <w:color w:val="000000"/>
        </w:rPr>
        <w:t xml:space="preserve"> on how they will change the pathways and improve access.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This will be revisited by the committee on October 9</w:t>
      </w:r>
      <w:r>
        <w:rPr>
          <w:color w:val="000000"/>
          <w:vertAlign w:val="superscript"/>
        </w:rPr>
        <w:t>th</w:t>
      </w:r>
      <w:r>
        <w:rPr>
          <w:color w:val="000000"/>
        </w:rPr>
        <w:t>, 2019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F12C4B" w:rsidRDefault="002F1A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PhD Computing</w:t>
      </w:r>
    </w:p>
    <w:p w:rsidR="00F12C4B" w:rsidRDefault="002F1A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Concerns from Committee: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Lack of resources of space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Creating home-grown PhD to teach undergrads.</w:t>
      </w:r>
    </w:p>
    <w:p w:rsidR="00F12C4B" w:rsidRDefault="002F1AD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Hire of Faculty concern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Typo: State funding check, but funded by industry sponsored research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2C4B" w:rsidRDefault="002F1A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MS Electrical &amp; Computer Engineering</w:t>
      </w:r>
    </w:p>
    <w:p w:rsidR="00F12C4B" w:rsidRDefault="002F1A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Concerns from Committee: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Lack of resource of space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 fully developed, and too many courses need to be developed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Staffing Support for International Students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Partnership with other degree programs/ cross sectoring </w:t>
      </w:r>
    </w:p>
    <w:p w:rsidR="00F12C4B" w:rsidRDefault="002F1AD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 requiring Accreditation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Issues &amp; Other Business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t>Future Policy work:</w:t>
      </w:r>
    </w:p>
    <w:p w:rsidR="00F12C4B" w:rsidRDefault="002F1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Diversity Designation review process will begin in November</w:t>
      </w:r>
    </w:p>
    <w:p w:rsidR="00F12C4B" w:rsidRDefault="002F1A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Held in house, meaning no sub-committee</w:t>
      </w:r>
    </w:p>
    <w:p w:rsidR="00F12C4B" w:rsidRDefault="002F1AD0">
      <w:pPr>
        <w:numPr>
          <w:ilvl w:val="0"/>
          <w:numId w:val="10"/>
        </w:numPr>
        <w:spacing w:after="0" w:line="240" w:lineRule="auto"/>
      </w:pPr>
      <w:r>
        <w:t xml:space="preserve">Senior residency requirement of 45 credits and Distance Learning courses </w:t>
      </w:r>
    </w:p>
    <w:p w:rsidR="00F12C4B" w:rsidRDefault="002F1AD0">
      <w:pPr>
        <w:spacing w:after="0" w:line="240" w:lineRule="auto"/>
        <w:ind w:firstLine="720"/>
      </w:pPr>
      <w:r>
        <w:t xml:space="preserve">UWCC Update: </w:t>
      </w:r>
    </w:p>
    <w:p w:rsidR="00F12C4B" w:rsidRDefault="002F1AD0">
      <w:pPr>
        <w:numPr>
          <w:ilvl w:val="0"/>
          <w:numId w:val="8"/>
        </w:numPr>
        <w:spacing w:after="0" w:line="240" w:lineRule="auto"/>
      </w:pPr>
      <w:r>
        <w:t xml:space="preserve">Religious exemption language now required on all campuses: </w:t>
      </w:r>
      <w:hyperlink r:id="rId7">
        <w:r>
          <w:rPr>
            <w:color w:val="1155CC"/>
            <w:u w:val="single"/>
          </w:rPr>
          <w:t>https://registrar.washington.edu/staffandfaculty/religious-accommodations-policy/</w:t>
        </w:r>
      </w:hyperlink>
    </w:p>
    <w:p w:rsidR="00F12C4B" w:rsidRDefault="002F1AD0">
      <w:pPr>
        <w:numPr>
          <w:ilvl w:val="1"/>
          <w:numId w:val="8"/>
        </w:numPr>
        <w:spacing w:after="0" w:line="240" w:lineRule="auto"/>
      </w:pPr>
      <w:r>
        <w:t xml:space="preserve">Also here: </w:t>
      </w:r>
      <w:hyperlink r:id="rId8">
        <w:r>
          <w:rPr>
            <w:color w:val="1155CC"/>
            <w:u w:val="single"/>
          </w:rPr>
          <w:t>https://registrar.washington.edu/staffandfaculty/syllabi-guidelines/</w:t>
        </w:r>
      </w:hyperlink>
    </w:p>
    <w:p w:rsidR="00F12C4B" w:rsidRDefault="002F1AD0">
      <w:pPr>
        <w:numPr>
          <w:ilvl w:val="0"/>
          <w:numId w:val="8"/>
        </w:numPr>
        <w:spacing w:after="0" w:line="240" w:lineRule="auto"/>
      </w:pPr>
      <w:r>
        <w:t>Curriculum policy review/adoption by faculty senate</w:t>
      </w:r>
    </w:p>
    <w:p w:rsidR="00F12C4B" w:rsidRDefault="002F1AD0">
      <w:pPr>
        <w:numPr>
          <w:ilvl w:val="1"/>
          <w:numId w:val="8"/>
        </w:numPr>
        <w:spacing w:after="0" w:line="240" w:lineRule="auto"/>
      </w:pPr>
      <w:r>
        <w:t>UWCC will be going into a full policy review.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Program Proposals 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Helvetica Neue" w:eastAsia="Helvetica Neue" w:hAnsi="Helvetica Neue" w:cs="Helvetica Neue"/>
          <w:color w:val="2D3B45"/>
          <w:highlight w:val="white"/>
        </w:rPr>
      </w:pPr>
    </w:p>
    <w:p w:rsidR="00F12C4B" w:rsidRDefault="002F1A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Minor in Latino Studies</w:t>
      </w:r>
    </w:p>
    <w:p w:rsidR="00F12C4B" w:rsidRDefault="002F1A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Concerns of Committee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TLAX 434 should be TLAX 435</w:t>
      </w:r>
    </w:p>
    <w:p w:rsidR="00F12C4B" w:rsidRDefault="002F1A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UWT Catalog is showing TLAX 435</w:t>
      </w:r>
    </w:p>
    <w:p w:rsidR="00F12C4B" w:rsidRDefault="002F1A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Proposer will correct that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TLAX 333 has no prerequisite, but is a base course for students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Statistics will not be a prerequisite for TLAX 356</w:t>
      </w:r>
    </w:p>
    <w:p w:rsidR="00F12C4B" w:rsidRDefault="002F1A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This course is about urban life.</w:t>
      </w:r>
    </w:p>
    <w:p w:rsidR="00F12C4B" w:rsidRDefault="002F1A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NLP was sent in June, but did not show up in the 1503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TWRT 364 will be removed </w:t>
      </w:r>
    </w:p>
    <w:p w:rsidR="00F12C4B" w:rsidRDefault="002F1A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committee may see this next month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TLAX 340 is almost done and will be see next month by the committee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9 Faculty are available to teach in this area who can also give resources</w:t>
      </w:r>
    </w:p>
    <w:p w:rsidR="00F12C4B" w:rsidRDefault="002F1A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FF0000"/>
        </w:rPr>
        <w:lastRenderedPageBreak/>
        <w:t>Motion</w:t>
      </w:r>
      <w:r>
        <w:rPr>
          <w:color w:val="000000"/>
        </w:rPr>
        <w:t xml:space="preserve"> to approve the Minor in Latino Studies with the given corrections and suggestions made from today and the J</w:t>
      </w:r>
      <w:r>
        <w:rPr>
          <w:color w:val="000000"/>
        </w:rPr>
        <w:t xml:space="preserve">une APCC meeting. Moved by </w:t>
      </w:r>
      <w:proofErr w:type="spellStart"/>
      <w:r>
        <w:rPr>
          <w:color w:val="000000"/>
        </w:rPr>
        <w:t>LeAnne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Laux-Bachand</w:t>
      </w:r>
      <w:proofErr w:type="spellEnd"/>
      <w:r>
        <w:rPr>
          <w:color w:val="000000"/>
        </w:rPr>
        <w:t xml:space="preserve">, and seconded by Laura </w:t>
      </w:r>
      <w:proofErr w:type="spellStart"/>
      <w:r>
        <w:rPr>
          <w:color w:val="000000"/>
        </w:rPr>
        <w:t>Feuerborn</w:t>
      </w:r>
      <w:proofErr w:type="spellEnd"/>
      <w:r>
        <w:rPr>
          <w:color w:val="000000"/>
        </w:rPr>
        <w:t>.</w:t>
      </w:r>
    </w:p>
    <w:p w:rsidR="00F12C4B" w:rsidRDefault="002F1AD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Vote:</w:t>
      </w:r>
      <w:r>
        <w:rPr>
          <w:color w:val="000000"/>
        </w:rPr>
        <w:t xml:space="preserve"> </w:t>
      </w:r>
      <w:r>
        <w:rPr>
          <w:i/>
          <w:color w:val="000000"/>
        </w:rPr>
        <w:t>9 yes, 0 no, 0 abstentions</w:t>
      </w:r>
    </w:p>
    <w:p w:rsidR="00F12C4B" w:rsidRDefault="00F12C4B">
      <w:pPr>
        <w:spacing w:after="0"/>
        <w:ind w:left="1440" w:hanging="720"/>
        <w:rPr>
          <w:color w:val="000000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Change Proposals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No Program Change Proposals this meeting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Course Proposals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color w:val="000000"/>
        </w:rPr>
        <w:br/>
      </w:r>
    </w:p>
    <w:p w:rsidR="00F12C4B" w:rsidRDefault="002F1A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TBIOL 414-Immunology</w:t>
      </w:r>
    </w:p>
    <w:p w:rsidR="00F12C4B" w:rsidRDefault="002F1A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Concerns and recommendations of Committee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Grammatical errors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Difference between </w:t>
      </w:r>
      <w:proofErr w:type="spellStart"/>
      <w:r>
        <w:rPr>
          <w:color w:val="000000"/>
        </w:rPr>
        <w:t>Kuali</w:t>
      </w:r>
      <w:proofErr w:type="spellEnd"/>
      <w:r>
        <w:rPr>
          <w:color w:val="000000"/>
        </w:rPr>
        <w:t xml:space="preserve"> and syllabus</w:t>
      </w:r>
    </w:p>
    <w:p w:rsidR="00F12C4B" w:rsidRDefault="002F1AD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This is not mandated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Grading policy is harsh</w:t>
      </w:r>
    </w:p>
    <w:p w:rsidR="00F12C4B" w:rsidRDefault="002F1AD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“Assignments will be graded and based on content logic and punctuality.”</w:t>
      </w:r>
    </w:p>
    <w:p w:rsidR="00F12C4B" w:rsidRDefault="002F1AD0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Take Punctuality off of the statement</w:t>
      </w:r>
    </w:p>
    <w:p w:rsidR="00F12C4B" w:rsidRDefault="002F1AD0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Can’t grade on behavior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First bullet on assignment line can be improved</w:t>
      </w:r>
    </w:p>
    <w:p w:rsidR="00F12C4B" w:rsidRDefault="002F1A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highlight w:val="yellow"/>
        </w:rPr>
      </w:pPr>
      <w:r>
        <w:rPr>
          <w:color w:val="000000"/>
          <w:highlight w:val="yellow"/>
        </w:rPr>
        <w:t>The committee would like to move this proposal forward after the grammatical errors are fixed and other recommendations listed above are taken into effect.</w:t>
      </w:r>
    </w:p>
    <w:p w:rsidR="00F12C4B" w:rsidRDefault="002F1A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 UDE 450 Urban Design Studio VI - Senior Project Part I &amp; </w:t>
      </w:r>
    </w:p>
    <w:p w:rsidR="00F12C4B" w:rsidRDefault="002F1A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 UDE 460: Part II</w:t>
      </w:r>
    </w:p>
    <w:p w:rsidR="00F12C4B" w:rsidRDefault="002F1A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1fob9te" w:colFirst="0" w:colLast="0"/>
      <w:bookmarkEnd w:id="2"/>
      <w:r>
        <w:rPr>
          <w:color w:val="000000"/>
        </w:rPr>
        <w:t>Committee members considered both courses at the same time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Assignments and grades:</w:t>
      </w:r>
    </w:p>
    <w:p w:rsidR="00F12C4B" w:rsidRDefault="002F1AD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“Grade will be based on a single term project, however each assigned faculty member will have the option of dividing project into a series of activates with separate grades.”</w:t>
      </w:r>
    </w:p>
    <w:p w:rsidR="00F12C4B" w:rsidRDefault="002F1AD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 enough grading information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Course Description 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Difference between </w:t>
      </w:r>
      <w:proofErr w:type="spellStart"/>
      <w:r>
        <w:rPr>
          <w:color w:val="000000"/>
        </w:rPr>
        <w:t>Kuali</w:t>
      </w:r>
      <w:proofErr w:type="spellEnd"/>
      <w:r>
        <w:rPr>
          <w:color w:val="000000"/>
        </w:rPr>
        <w:t xml:space="preserve"> and s</w:t>
      </w:r>
      <w:r>
        <w:rPr>
          <w:color w:val="000000"/>
        </w:rPr>
        <w:t>yllabus</w:t>
      </w:r>
    </w:p>
    <w:p w:rsidR="00F12C4B" w:rsidRDefault="002F1AD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Grammatical errors</w:t>
      </w:r>
    </w:p>
    <w:p w:rsidR="00F12C4B" w:rsidRDefault="002F1AD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Typo in justification (Graduates)</w:t>
      </w:r>
    </w:p>
    <w:p w:rsidR="00F12C4B" w:rsidRDefault="002F1A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The Committee would like to send back the proposal and correct the course description, matching </w:t>
      </w:r>
      <w:proofErr w:type="spellStart"/>
      <w:r>
        <w:rPr>
          <w:color w:val="000000"/>
          <w:highlight w:val="yellow"/>
        </w:rPr>
        <w:t>Kuali</w:t>
      </w:r>
      <w:proofErr w:type="spellEnd"/>
      <w:r>
        <w:rPr>
          <w:color w:val="000000"/>
          <w:highlight w:val="yellow"/>
        </w:rPr>
        <w:t xml:space="preserve"> and syllabus, SLO measurable, grading details. It was also recommended to change the titles t</w:t>
      </w:r>
      <w:r>
        <w:rPr>
          <w:color w:val="000000"/>
          <w:highlight w:val="yellow"/>
        </w:rPr>
        <w:t>o take away the Roman Numerals.</w:t>
      </w:r>
      <w:r>
        <w:rPr>
          <w:color w:val="000000"/>
        </w:rPr>
        <w:t xml:space="preserve"> 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F12C4B" w:rsidRDefault="002F1AD0">
      <w:pPr>
        <w:pStyle w:val="Heading3"/>
        <w:numPr>
          <w:ilvl w:val="0"/>
          <w:numId w:val="9"/>
        </w:numPr>
        <w:tabs>
          <w:tab w:val="center" w:pos="2040"/>
        </w:tabs>
        <w:rPr>
          <w:rFonts w:ascii="Calibri" w:eastAsia="Calibri" w:hAnsi="Calibri" w:cs="Calibri"/>
          <w:sz w:val="22"/>
          <w:szCs w:val="22"/>
        </w:rPr>
      </w:pPr>
      <w:r>
        <w:lastRenderedPageBreak/>
        <w:t xml:space="preserve">Course Change Proposals </w:t>
      </w:r>
      <w:r>
        <w:br/>
      </w:r>
    </w:p>
    <w:p w:rsidR="00F12C4B" w:rsidRDefault="002F1A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TURB 110 Introduction to Digital Urban Data Analysis</w:t>
      </w:r>
    </w:p>
    <w:p w:rsidR="00F12C4B" w:rsidRDefault="002F1A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Diversity Designation Application (see supporting documents in UWCM)</w:t>
      </w:r>
    </w:p>
    <w:p w:rsidR="00F12C4B" w:rsidRDefault="002F1A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This course was taught in the Summer quarter and did not make it into the agenda until Summer began</w:t>
      </w:r>
    </w:p>
    <w:p w:rsidR="00F12C4B" w:rsidRDefault="002F1AD0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Can you change it to make it retroactive and have students have a diversity requirement filled?</w:t>
      </w:r>
    </w:p>
    <w:p w:rsidR="00F12C4B" w:rsidRDefault="002F1AD0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This is done manually, The Registrar would need to go into the transcripts and reevaluate the course for each student.</w:t>
      </w:r>
    </w:p>
    <w:p w:rsidR="00F12C4B" w:rsidRDefault="002F1A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Concerns and recommendation of the committee</w:t>
      </w:r>
    </w:p>
    <w:p w:rsidR="00F12C4B" w:rsidRDefault="002F1AD0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 would the SLO’s be considered as part of the diversity requirement?</w:t>
      </w:r>
    </w:p>
    <w:p w:rsidR="00F12C4B" w:rsidRDefault="002F1AD0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Request a rubric, hi</w:t>
      </w:r>
      <w:r>
        <w:rPr>
          <w:color w:val="000000"/>
        </w:rPr>
        <w:t>ghlight SLO’s</w:t>
      </w:r>
    </w:p>
    <w:p w:rsidR="00F12C4B" w:rsidRDefault="002F1A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The Committee would like to send back the course change with an additional request of a rubric, and highlight the SLO’s. There is also a concern of the 40% participation grade being measurable. The committee agrees that this diversity require</w:t>
      </w:r>
      <w:r>
        <w:rPr>
          <w:color w:val="000000"/>
          <w:highlight w:val="yellow"/>
        </w:rPr>
        <w:t>ment will be retroactive for the students that took this course in the past.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Graduation Petition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C4B" w:rsidRDefault="002F1AD0">
      <w:pPr>
        <w:pBdr>
          <w:top w:val="nil"/>
          <w:left w:val="nil"/>
          <w:bottom w:val="nil"/>
          <w:right w:val="nil"/>
          <w:between w:val="nil"/>
        </w:pBdr>
        <w:spacing w:after="3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Student Petitions this meeting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C4B" w:rsidRDefault="002F1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Adjournement</w:t>
      </w:r>
      <w:proofErr w:type="spellEnd"/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C4B" w:rsidRDefault="002F1A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meeting was adjourned at 1:59PM</w:t>
      </w:r>
    </w:p>
    <w:p w:rsidR="00F12C4B" w:rsidRDefault="002F1AD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APCC meeting: Wednesday, October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 12:30-2:00PM</w:t>
      </w:r>
    </w:p>
    <w:p w:rsidR="00F12C4B" w:rsidRDefault="002F1AD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Dawn Lucien Boardroom</w:t>
      </w: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F12C4B" w:rsidRDefault="00F12C4B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sectPr w:rsidR="00F12C4B"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altName w:val="Cambria Math"/>
    <w:panose1 w:val="02000500000000000000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80"/>
    <w:multiLevelType w:val="multilevel"/>
    <w:tmpl w:val="892A9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440AE6"/>
    <w:multiLevelType w:val="multilevel"/>
    <w:tmpl w:val="A17A4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760DE4"/>
    <w:multiLevelType w:val="multilevel"/>
    <w:tmpl w:val="39A4B3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E84129"/>
    <w:multiLevelType w:val="multilevel"/>
    <w:tmpl w:val="13AC355C"/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F0813FC"/>
    <w:multiLevelType w:val="multilevel"/>
    <w:tmpl w:val="CAC474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887322"/>
    <w:multiLevelType w:val="multilevel"/>
    <w:tmpl w:val="450060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A3BBD"/>
    <w:multiLevelType w:val="multilevel"/>
    <w:tmpl w:val="F6F01F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7E65F6C"/>
    <w:multiLevelType w:val="multilevel"/>
    <w:tmpl w:val="E75418E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9D4B48"/>
    <w:multiLevelType w:val="multilevel"/>
    <w:tmpl w:val="BC1E5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8788A"/>
    <w:multiLevelType w:val="multilevel"/>
    <w:tmpl w:val="326E1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EF11E3"/>
    <w:multiLevelType w:val="multilevel"/>
    <w:tmpl w:val="CE30A24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E95ECF"/>
    <w:multiLevelType w:val="multilevel"/>
    <w:tmpl w:val="D7D808E6"/>
    <w:lvl w:ilvl="0">
      <w:start w:val="1"/>
      <w:numFmt w:val="upperRoman"/>
      <w:lvlText w:val="%1."/>
      <w:lvlJc w:val="left"/>
      <w:pPr>
        <w:ind w:left="735" w:hanging="75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BB138BB"/>
    <w:multiLevelType w:val="multilevel"/>
    <w:tmpl w:val="5F70BA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4B"/>
    <w:rsid w:val="002F1AD0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4390"/>
  <w15:docId w15:val="{75FAEA0B-431B-4F2D-A885-A1652D1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washington.edu/staffandfaculty/syllabi-guidel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r.washington.edu/staffandfaculty/religious-accommodations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_lJGSohKO8TK3qIryKYmsDZkzQmB0_rEGq1T_JO9SRY/edit?usp=sharin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cp:lastModifiedBy>aseibert</cp:lastModifiedBy>
  <cp:revision>2</cp:revision>
  <dcterms:created xsi:type="dcterms:W3CDTF">2019-10-22T19:45:00Z</dcterms:created>
  <dcterms:modified xsi:type="dcterms:W3CDTF">2019-10-22T19:45:00Z</dcterms:modified>
</cp:coreProperties>
</file>